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80" w:after="80"/>
        <w:jc w:val="center"/>
      </w:pPr>
      <w:r>
        <w:rPr>
          <w:rFonts w:ascii="Calibri" w:hAnsi="Calibri"/>
          <w:b/>
          <w:i w:val="0"/>
          <w:color w:val="000000"/>
          <w:sz w:val="40"/>
        </w:rPr>
        <w:t>IN-HOUSE PERFORMANCE EVALUATION REPORT</w:t>
      </w:r>
    </w:p>
    <w:p>
      <w:pPr>
        <w:keepNext/>
        <w:spacing w:after="280"/>
        <w:jc w:val="center"/>
      </w:pPr>
      <w:r>
        <w:rPr>
          <w:rFonts w:ascii="Calibri" w:hAnsi="Calibri"/>
          <w:b w:val="0"/>
          <w:i/>
          <w:color w:val="595959"/>
          <w:sz w:val="21"/>
        </w:rPr>
        <w:t>New In Vitro Diagnostic Medical Device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Document Number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{{documentNumber}}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{{documentVersion}}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Issue Date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{{documentDate}}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Evaluation Protocol / Device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{{studyTitleOrPlanNumber}}</w:t>
            </w:r>
          </w:p>
        </w:tc>
      </w:tr>
    </w:tbl>
    <w:p>
      <w:pPr>
        <w:spacing w:after="40"/>
      </w:pPr>
    </w:p>
    <w:p>
      <w:pPr>
        <w:pStyle w:val="Heading1"/>
      </w:pPr>
      <w:r>
        <w:t>1. Objective and Scope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000000"/>
          <w:sz w:val="21"/>
        </w:rPr>
        <w:t>Objective</w:t>
      </w:r>
    </w:p>
    <w:p>
      <w:pPr>
        <w:spacing w:after="160"/>
        <w:ind w:left="173"/>
      </w:pPr>
      <w:r>
        <w:rPr>
          <w:rFonts w:ascii="Calibri" w:hAnsi="Calibri"/>
          <w:b w:val="0"/>
          <w:i/>
          <w:color w:val="1F4D78"/>
          <w:sz w:val="21"/>
        </w:rPr>
        <w:t>{{inHouseEvaluationObjective}}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000000"/>
          <w:sz w:val="21"/>
        </w:rPr>
        <w:t>Device, lots, instruments and sites covered</w:t>
      </w:r>
    </w:p>
    <w:p>
      <w:pPr>
        <w:spacing w:after="160"/>
        <w:ind w:left="173"/>
      </w:pPr>
      <w:r>
        <w:rPr>
          <w:rFonts w:ascii="Calibri" w:hAnsi="Calibri"/>
          <w:b w:val="0"/>
          <w:i/>
          <w:color w:val="1F4D78"/>
          <w:sz w:val="21"/>
        </w:rPr>
        <w:t>{{devicesLotsInstrumentsSitesCovered}}</w:t>
      </w:r>
    </w:p>
    <w:p>
      <w:pPr>
        <w:pStyle w:val="Heading1"/>
      </w:pPr>
      <w:r>
        <w:t>2. Methods and Materials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Specimen Types and Sources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{{specimenTypesAndSources}}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Number of Specimens / Replicates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{{specimenAndReplicateCounts}}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Reference / Comparator Method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{{referenceComparatorMethod}}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Acceptance Criteria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{{performanceAcceptanceCriteria}}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Statistical Methods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{{performanceStatisticalMethods}}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Protocol Deviations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{{performanceProtocolDeviationsOrNone}}</w:t>
            </w:r>
          </w:p>
        </w:tc>
      </w:tr>
    </w:tbl>
    <w:p>
      <w:pPr>
        <w:spacing w:after="40"/>
      </w:pPr>
    </w:p>
    <w:p>
      <w:pPr>
        <w:pStyle w:val="Heading1"/>
      </w:pPr>
      <w:r>
        <w:t>3. Performance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2700"/>
        <w:gridCol w:w="1900"/>
        <w:gridCol w:w="1500"/>
        <w:gridCol w:w="1710"/>
      </w:tblGrid>
      <w:tr>
        <w:trPr>
          <w:tblHeader w:val="true"/>
        </w:trPr>
        <w:tc>
          <w:tcPr>
            <w:tcW w:type="dxa" w:w="15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Characteristic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Study Design / Data Set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Acceptance Criterion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Result</w:t>
            </w:r>
          </w:p>
        </w:tc>
        <w:tc>
          <w:tcPr>
            <w:tcW w:type="dxa" w:w="17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Conclusion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Stability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{{stabilityStudyDesignAndData}}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{{stabilityAcceptanceCriterion}}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{{stabilityResult}}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{{stabilityConclusion}}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Sensitivity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{{sensitivityStudyDesignAndData}}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{{sensitivityAcceptanceCriterion}}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{{sensitivityResult}}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{{sensitivityConclusion}}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Specificity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{{specificityStudyDesignAndData}}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{{specificityAcceptanceCriterion}}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{{specificityResult}}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{{specificityConclusion}}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Repeatability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{{repeatabilityStudyDesignAndData}}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{{repeatabilityAcceptanceCriterion}}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{{repeatabilityResult}}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{{repeatabilityConclusion}}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Reproducibility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{{reproducibilityStudyDesignAndData}}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{{reproducibilityAcceptanceCriterion}}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{{reproducibilityResult}}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{{reproducibilityConclusion}}</w:t>
            </w:r>
          </w:p>
        </w:tc>
      </w:tr>
    </w:tbl>
    <w:p>
      <w:pPr>
        <w:spacing w:after="40"/>
      </w:pPr>
    </w:p>
    <w:p>
      <w:pPr>
        <w:pStyle w:val="Heading1"/>
      </w:pPr>
      <w:r>
        <w:t>4. Invalid, Discordant and Outlier Results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000000"/>
          <w:sz w:val="21"/>
        </w:rPr>
        <w:t>Analysis and disposition</w:t>
      </w:r>
    </w:p>
    <w:p>
      <w:pPr>
        <w:spacing w:after="160"/>
        <w:ind w:left="173"/>
      </w:pPr>
      <w:r>
        <w:rPr>
          <w:rFonts w:ascii="Calibri" w:hAnsi="Calibri"/>
          <w:b w:val="0"/>
          <w:i/>
          <w:color w:val="1F4D78"/>
          <w:sz w:val="21"/>
        </w:rPr>
        <w:t>{{invalidDiscordantOutlierAnalysis}}</w:t>
      </w:r>
    </w:p>
    <w:p>
      <w:pPr>
        <w:pStyle w:val="Heading1"/>
      </w:pPr>
      <w:r>
        <w:t>5. Raw Data, Calculations and Evidence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0"/>
        <w:gridCol w:w="2500"/>
        <w:gridCol w:w="3060"/>
      </w:tblGrid>
      <w:tr>
        <w:trPr>
          <w:tblHeader w:val="true"/>
        </w:trPr>
        <w:tc>
          <w:tcPr>
            <w:tcW w:type="dxa" w:w="3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Reference</w:t>
            </w:r>
          </w:p>
        </w:tc>
        <w:tc>
          <w:tcPr>
            <w:tcW w:type="dxa" w:w="30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Location / Attachment</w:t>
            </w:r>
          </w:p>
        </w:tc>
      </w:tr>
      <w:tr>
        <w:trPr/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{{performanceEvidenceTitle}}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{{performanceEvidenceReference}}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{{performanceEvidenceLocation}}</w:t>
            </w:r>
          </w:p>
        </w:tc>
      </w:tr>
    </w:tbl>
    <w:p>
      <w:pPr>
        <w:spacing w:after="40"/>
      </w:pPr>
    </w:p>
    <w:p>
      <w:pPr>
        <w:pStyle w:val="Heading1"/>
      </w:pPr>
      <w:r>
        <w:t>6. Overall Conclusion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000000"/>
          <w:sz w:val="21"/>
        </w:rPr>
        <w:t>Conclusion against intended use and acceptance criteria</w:t>
      </w:r>
    </w:p>
    <w:p>
      <w:pPr>
        <w:spacing w:after="160"/>
        <w:ind w:left="173"/>
      </w:pPr>
      <w:r>
        <w:rPr>
          <w:rFonts w:ascii="Calibri" w:hAnsi="Calibri"/>
          <w:b w:val="0"/>
          <w:i/>
          <w:color w:val="1F4D78"/>
          <w:sz w:val="21"/>
        </w:rPr>
        <w:t>{{inHousePerformanceOverallConclusion}}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Prepared / Reviewed / Approved By</w:t>
            </w:r>
          </w:p>
        </w:tc>
        <w:tc>
          <w:tcPr>
            <w:tcW w:type="dxa" w:w="4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Date</w:t>
            </w:r>
          </w:p>
        </w:tc>
      </w:tr>
      <w:tr>
        <w:trPr/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{{signatoryName}}</w:t>
              <w:br/>
              <w:t>{{signatoryDesignation}}</w:t>
              <w:br/>
              <w:t>Signature: {{signature}}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{{date}}</w:t>
              <w:br/>
              <w:t>{{place}}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i w:val="0"/>
        <w:color w:val="595959"/>
        <w:sz w:val="17"/>
      </w:rPr>
      <w:t xml:space="preserve">Medical Devices Rules, 2017 | Page </w:t>
    </w:r>
    <w:r>
      <w:rPr>
        <w:rFonts w:ascii="Calibri" w:hAnsi="Calibri"/>
        <w:b w:val="0"/>
        <w:i w:val="0"/>
        <w:color w:val="59595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/>
        <w:i w:val="0"/>
        <w:color w:val="595959"/>
        <w:sz w:val="17"/>
      </w:rPr>
      <w:t>FORM MD-24 | In-House Performance Evaluation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In-House Performance Evaluation Report</dc:title>
  <dc:subject>FORM MD-24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