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80" w:after="80"/>
        <w:jc w:val="center"/>
      </w:pPr>
      <w:r>
        <w:rPr>
          <w:rFonts w:ascii="Calibri" w:hAnsi="Calibri"/>
          <w:b/>
          <w:i w:val="0"/>
          <w:color w:val="000000"/>
          <w:sz w:val="40"/>
        </w:rPr>
        <w:t>CLINICAL PERFORMANCE EVALUATION PLAN</w:t>
      </w:r>
    </w:p>
    <w:p>
      <w:pPr>
        <w:keepNext/>
        <w:spacing w:after="280"/>
        <w:jc w:val="center"/>
      </w:pPr>
      <w:r>
        <w:rPr>
          <w:rFonts w:ascii="Calibri" w:hAnsi="Calibri"/>
          <w:b w:val="0"/>
          <w:i/>
          <w:color w:val="595959"/>
          <w:sz w:val="21"/>
        </w:rPr>
        <w:t>New In Vitro Diagnostic Medical Device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Document Number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{{documentNumber}}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{{documentVersion}}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Issue Date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{{documentDate}}</w:t>
            </w:r>
          </w:p>
        </w:tc>
      </w:tr>
      <w:tr>
        <w:trPr/>
        <w:tc>
          <w:tcPr>
            <w:tcW w:type="dxa" w:w="24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CPE Plan Number / Title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9"/>
              </w:rPr>
              <w:t>{{studyTitleOrPlanNumber}}</w:t>
            </w:r>
          </w:p>
        </w:tc>
      </w:tr>
    </w:tbl>
    <w:p>
      <w:pPr>
        <w:spacing w:after="40"/>
      </w:pPr>
    </w:p>
    <w:p>
      <w:pPr>
        <w:pStyle w:val="Heading1"/>
      </w:pPr>
      <w:r>
        <w:t>Revision History and Approvals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1500"/>
        <w:gridCol w:w="4260"/>
        <w:gridCol w:w="2300"/>
      </w:tblGrid>
      <w:tr>
        <w:trPr>
          <w:tblHeader w:val="true"/>
        </w:trPr>
        <w:tc>
          <w:tcPr>
            <w:tcW w:type="dxa" w:w="1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Version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Date</w:t>
            </w:r>
          </w:p>
        </w:tc>
        <w:tc>
          <w:tcPr>
            <w:tcW w:type="dxa" w:w="4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Change Summary</w:t>
            </w:r>
          </w:p>
        </w:tc>
        <w:tc>
          <w:tcPr>
            <w:tcW w:type="dxa" w:w="2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Author / Approver</w:t>
            </w:r>
          </w:p>
        </w:tc>
      </w:tr>
      <w:tr>
        <w:trPr/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{{cpeRevisionVersion}}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{{cpeRevisionDate}}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{{cpeRevisionSummary}}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{{cpeRevisionAuthorApprover}}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 of the Evaluation</w:t>
      </w:r>
    </w:p>
    <w:p>
      <w:r>
        <w:t>{{cpePurpose}}</w:t>
      </w:r>
    </w:p>
    <w:p>
      <w:pPr>
        <w:pStyle w:val="Heading1"/>
      </w:pPr>
      <w:r>
        <w:t>2. Scientific, Technical and Medical Grounds</w:t>
      </w:r>
    </w:p>
    <w:p>
      <w:r>
        <w:t>{{cpeScientificTechnicalMedicalGrounds}}</w:t>
      </w:r>
    </w:p>
    <w:p>
      <w:pPr>
        <w:pStyle w:val="Heading1"/>
      </w:pPr>
      <w:r>
        <w:t>3. Scope</w:t>
      </w:r>
    </w:p>
    <w:p>
      <w:r>
        <w:t>{{cpeScope}}</w:t>
      </w:r>
    </w:p>
    <w:p>
      <w:pPr>
        <w:pStyle w:val="Heading1"/>
      </w:pPr>
      <w:r>
        <w:t>4. Sponsor and Manufacturer</w:t>
      </w:r>
    </w:p>
    <w:p>
      <w:r>
        <w:t>{{cpeSponsorManufacturerContacts}}</w:t>
      </w:r>
    </w:p>
    <w:p>
      <w:pPr>
        <w:pStyle w:val="Heading1"/>
      </w:pPr>
      <w:r>
        <w:t>5. IVD Identification, Intended Use and Claims</w:t>
      </w:r>
    </w:p>
    <w:p>
      <w:r>
        <w:t>{{cpeIvdIdentityIntendedUseClaims}}</w:t>
      </w:r>
    </w:p>
    <w:p>
      <w:pPr>
        <w:pStyle w:val="Heading1"/>
      </w:pPr>
      <w:r>
        <w:t>6. Participating Laboratories / Institutions and Investigators</w:t>
      </w:r>
    </w:p>
    <w:p>
      <w:r>
        <w:t>{{cpeLaboratoriesInstitutionsInvestigators}}</w:t>
      </w:r>
    </w:p>
    <w:p>
      <w:pPr>
        <w:pStyle w:val="Heading1"/>
      </w:pPr>
      <w:r>
        <w:t>7. Ethics Committee</w:t>
      </w:r>
    </w:p>
    <w:p>
      <w:r>
        <w:t>{{cpeEthicsCommitteeDetails}}</w:t>
      </w:r>
    </w:p>
    <w:p>
      <w:pPr>
        <w:pStyle w:val="Heading1"/>
      </w:pPr>
      <w:r>
        <w:t>8. Source and Quantity of Human Specimens</w:t>
      </w:r>
    </w:p>
    <w:p>
      <w:r>
        <w:t>{{cpeSpecimenSourceQuantityAndJustification}}</w:t>
      </w:r>
    </w:p>
    <w:p>
      <w:pPr>
        <w:pStyle w:val="Heading1"/>
      </w:pPr>
      <w:r>
        <w:t>9. Study Population and Specimen Eligibility</w:t>
      </w:r>
    </w:p>
    <w:p>
      <w:r>
        <w:t>{{cpePopulationInclusionExclusionAndSpecimenCriteria}}</w:t>
      </w:r>
    </w:p>
    <w:p>
      <w:pPr>
        <w:pStyle w:val="Heading1"/>
      </w:pPr>
      <w:r>
        <w:t>10. Evaluation Design</w:t>
      </w:r>
    </w:p>
    <w:p>
      <w:r>
        <w:t>{{cpeStudyDesignProspectiveRetrospectiveBlindingAndComparator}}</w:t>
      </w:r>
    </w:p>
    <w:p>
      <w:pPr>
        <w:pStyle w:val="Heading1"/>
      </w:pPr>
      <w:r>
        <w:t>11. Reference / Comparator Method</w:t>
      </w:r>
    </w:p>
    <w:p>
      <w:r>
        <w:t>{{cpeReferenceComparatorMethod}}</w:t>
      </w:r>
    </w:p>
    <w:p>
      <w:pPr>
        <w:pStyle w:val="Heading1"/>
      </w:pPr>
      <w:r>
        <w:t>12. Sample Size and Statistical Analysis</w:t>
      </w:r>
    </w:p>
    <w:p>
      <w:r>
        <w:t>{{cpeSampleSizeStatisticsMissingDataAndSubgroups}}</w:t>
      </w:r>
    </w:p>
    <w:p>
      <w:pPr>
        <w:pStyle w:val="Heading1"/>
      </w:pPr>
      <w:r>
        <w:t>13. Performance Endpoints and Acceptance Criteria</w:t>
      </w:r>
    </w:p>
    <w:p>
      <w:r>
        <w:t>{{cpeEndpointsAndAcceptanceCriteria}}</w:t>
      </w:r>
    </w:p>
    <w:p>
      <w:pPr>
        <w:pStyle w:val="Heading1"/>
      </w:pPr>
      <w:r>
        <w:t>14. Specimen Collection, Handling, Storage and Disposal</w:t>
      </w:r>
    </w:p>
    <w:p>
      <w:r>
        <w:t>{{cpeSpecimenCollectionHandlingStorageDisposal}}</w:t>
      </w:r>
    </w:p>
    <w:p>
      <w:pPr>
        <w:pStyle w:val="Heading1"/>
      </w:pPr>
      <w:r>
        <w:t>15. Test Procedure, Instruments, Lots and Controls</w:t>
      </w:r>
    </w:p>
    <w:p>
      <w:r>
        <w:t>{{cpeTestProcedureInstrumentsLotsControls}}</w:t>
      </w:r>
    </w:p>
    <w:p>
      <w:pPr>
        <w:pStyle w:val="Heading1"/>
      </w:pPr>
      <w:r>
        <w:t>16. Invalid, Repeat and Discordant Result Handling</w:t>
      </w:r>
    </w:p>
    <w:p>
      <w:r>
        <w:t>{{cpeInvalidRepeatDiscordantHandling}}</w:t>
      </w:r>
    </w:p>
    <w:p>
      <w:pPr>
        <w:pStyle w:val="Heading1"/>
      </w:pPr>
      <w:r>
        <w:t>17. Quality Assurance and Monitoring</w:t>
      </w:r>
    </w:p>
    <w:p>
      <w:r>
        <w:t>{{cpeQualityAssuranceMonitoringAndSourceVerification}}</w:t>
      </w:r>
    </w:p>
    <w:p>
      <w:pPr>
        <w:pStyle w:val="Heading1"/>
      </w:pPr>
      <w:r>
        <w:t>18. Biosafety and Participant / User Protection</w:t>
      </w:r>
    </w:p>
    <w:p>
      <w:r>
        <w:t>{{cpeBiosafetyAndHealthSafetyPrecautions}}</w:t>
      </w:r>
    </w:p>
    <w:p>
      <w:pPr>
        <w:pStyle w:val="Heading1"/>
      </w:pPr>
      <w:r>
        <w:t>19. Case Report Form and Data Management</w:t>
      </w:r>
    </w:p>
    <w:p>
      <w:r>
        <w:t>{{cpeCrfDataCaptureSecurityAndRetention}}</w:t>
      </w:r>
    </w:p>
    <w:p>
      <w:pPr>
        <w:pStyle w:val="Heading1"/>
      </w:pPr>
      <w:r>
        <w:t>20. Deviations, Amendments and Corrective Actions</w:t>
      </w:r>
    </w:p>
    <w:p>
      <w:r>
        <w:t>{{cpeDeviationAmendmentAndCapa}}</w:t>
      </w:r>
    </w:p>
    <w:p>
      <w:pPr>
        <w:pStyle w:val="Heading1"/>
      </w:pPr>
      <w:r>
        <w:t>21. Adverse Events, Incidents and Reporting</w:t>
      </w:r>
    </w:p>
    <w:p>
      <w:r>
        <w:t>{{cpeSafetyIncidentDefinitionsReportingAndContacts}}</w:t>
      </w:r>
    </w:p>
    <w:p>
      <w:pPr>
        <w:pStyle w:val="Heading1"/>
      </w:pPr>
      <w:r>
        <w:t>22. Scheduled Duration</w:t>
      </w:r>
    </w:p>
    <w:p>
      <w:r>
        <w:t>{{cpeStartEndDurationAndMilestones}}</w:t>
      </w:r>
    </w:p>
    <w:p>
      <w:pPr>
        <w:pStyle w:val="Heading1"/>
      </w:pPr>
      <w:r>
        <w:t>23. Self-Testing Evaluation</w:t>
      </w:r>
    </w:p>
    <w:p>
      <w:r>
        <w:t>{{cpeSelfTestingLocationsLayPersonCountAndInstructionsOrNotApplicable}}</w:t>
      </w:r>
    </w:p>
    <w:p>
      <w:pPr>
        <w:pStyle w:val="Heading1"/>
      </w:pPr>
      <w:r>
        <w:t>24. Final Analysis and Reporting</w:t>
      </w:r>
    </w:p>
    <w:p>
      <w:r>
        <w:t>{{cpeFinalAnalysisReportAndDistribution}}</w:t>
      </w:r>
    </w:p>
    <w:p>
      <w:pPr>
        <w:pStyle w:val="Heading1"/>
      </w:pPr>
      <w:r>
        <w:t>25. References and Appendices</w:t>
      </w:r>
    </w:p>
    <w:p>
      <w:r>
        <w:t>{{cpeReferencesAndAppendices}}</w:t>
      </w:r>
    </w:p>
    <w:p>
      <w:pPr>
        <w:pStyle w:val="Heading1"/>
      </w:pPr>
      <w:r>
        <w:t>Approvals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Sponsor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Principal / Coordinating Investigator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Statistician / Laboratory Reviewer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{{cpeSponsorApproval}}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{{cpeInvestigatorApproval}}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/>
                <w:color w:val="1F4D78"/>
                <w:sz w:val="18"/>
              </w:rPr>
              <w:t>{{cpeReviewerApproval}}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i w:val="0"/>
        <w:color w:val="595959"/>
        <w:sz w:val="17"/>
      </w:rPr>
      <w:t xml:space="preserve">Medical Devices Rules, 2017 | Page </w:t>
    </w:r>
    <w:r>
      <w:rPr>
        <w:rFonts w:ascii="Calibri" w:hAnsi="Calibri"/>
        <w:b w:val="0"/>
        <w:i w:val="0"/>
        <w:color w:val="59595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/>
        <w:i w:val="0"/>
        <w:color w:val="595959"/>
        <w:sz w:val="17"/>
      </w:rPr>
      <w:t>FORM MD-24 | Clinical Performance Evaluation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Performance Evaluation Plan</dc:title>
  <dc:subject>FORM MD-24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