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DEVICE MASTER FILE FOR IN VITRO DIAGNOSTIC MEDICAL DEVICES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Appendix III, Fourth Schedule | Form MD-28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{ivdGenericName}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Appendix III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1.0 Executive Summary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{dmfExecutiveSummary}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Include device/intended use/risk class/novel features/shelf life/dossier synopsis; similar-device status in India; domestic price; marketing history; regulatory approvals/pending or withdrawn applications; adverse events/FSCA; and animal/human or microbial/recombinant materials.</w:t>
      </w:r>
    </w:p>
    <w:p>
      <w:pPr>
        <w:pStyle w:val="Heading1"/>
      </w:pPr>
      <w:r>
        <w:t>2.0 Description and Specification, Including Variants and Accessories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{dmfDescriptionSpecification}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What is detected; function; disorder/condition; automated/manual; qualitative/quantitative; specimen and population; intended user; assay principle; class; components/reactive ingredients; collection/transport materials; instrumentation; software; configurations; accessories; previous generations; clinical-performance summary and market data as applicable.</w:t>
      </w:r>
    </w:p>
    <w:p>
      <w:pPr>
        <w:pStyle w:val="Heading1"/>
      </w:pPr>
      <w:r>
        <w:t>3.0 Essential Principles Checklist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{dmfEPReference}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Cross-reference the separate checklist showing applicability, method of conformity and exact evidence location.</w:t>
      </w:r>
    </w:p>
    <w:p>
      <w:pPr>
        <w:pStyle w:val="Heading1"/>
      </w:pPr>
      <w:r>
        <w:t>4.0 Risk Analysis and Control Summary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{dmfRiskSummary}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hazards, controls and residual risk, including false results, instability, specimen/reagent and user hazards; cross-reference the full risk report.</w:t>
      </w:r>
    </w:p>
    <w:p>
      <w:pPr>
        <w:pStyle w:val="Heading1"/>
      </w:pPr>
      <w:r>
        <w:t>5.0 Design and Manufacturing Information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{dmfDesignManufacturing}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Critical assay ingredients; controlling design site; manufacturing flow including in-process/final tests and packaging; critical manufacturing sites and QMS certificates.</w:t>
      </w:r>
    </w:p>
    <w:p>
      <w:pPr>
        <w:pStyle w:val="Heading1"/>
      </w:pPr>
      <w:r>
        <w:t>6.0 Product Validation and Verification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{dmfValidationVerification}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For each study provide protocol, analysis method, results, acceptance criteria and conclusion; cross-reference full reports.</w:t>
      </w:r>
    </w:p>
    <w:p>
      <w:pPr>
        <w:pStyle w:val="Heading1"/>
      </w:pPr>
      <w:r>
        <w:t>7.0 Analytical Studies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{dmfAnalyticalStudies}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applicable analytical studies and justify non-applicable studies by assay/instrument type.</w:t>
      </w:r>
    </w:p>
    <w:p>
      <w:pPr>
        <w:pStyle w:val="Heading1"/>
      </w:pPr>
      <w:r>
        <w:t>8.0 Specimen Type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{dmfSpecimenType}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Specimen types, matrices/anticoagulants, collection, transport, storage, stability, freeze/thaw limits and comparison/accuracy method.</w:t>
      </w:r>
    </w:p>
    <w:p>
      <w:pPr>
        <w:pStyle w:val="Heading1"/>
      </w:pPr>
      <w:r>
        <w:t>9.0 Analytical Performance Characteristics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{dmfAccuracyReproducibility}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Accuracy/trueness/precision and reproducibility across days, runs, sites, lots, operators and instruments.</w:t>
      </w:r>
    </w:p>
    <w:p>
      <w:pPr>
        <w:pStyle w:val="Heading1"/>
      </w:pPr>
      <w:r>
        <w:t>10.0 Analytical Sensitivity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{dmfAnalyticalSensitivity}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Study design and results for LoB, LoD and LoQ as applicable, including specimen/matrix, levels, replicates and calculation.</w:t>
      </w:r>
    </w:p>
    <w:p>
      <w:pPr>
        <w:pStyle w:val="Heading1"/>
      </w:pPr>
      <w:r>
        <w:t>11.0 Analytical Specificity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{dmfAnalyticalSpecificity}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Interference and cross-reactivity studies with substances/agents, concentrations, specimens, analyte levels, results and conclusion.</w:t>
      </w:r>
    </w:p>
    <w:p>
      <w:pPr>
        <w:pStyle w:val="Heading1"/>
      </w:pPr>
      <w:r>
        <w:t>12.0 Metrological Traceability of Calibrator and Control Values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{dmfMetrologicalTraceability}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Reference materials/procedures, value assignment, traceability chain, validation and acceptance criteria, where applicable.</w:t>
      </w:r>
    </w:p>
    <w:p>
      <w:pPr>
        <w:pStyle w:val="Heading1"/>
      </w:pPr>
      <w:r>
        <w:t>13.0 Measuring Range of the Assay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{dmfMeasuringRange}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Linearity/non-linearity, analytical measuring range, specimen/replicates/levels, LoD and high-dose hook effect/mitigation where applicable.</w:t>
      </w:r>
    </w:p>
    <w:p>
      <w:pPr>
        <w:pStyle w:val="Heading1"/>
      </w:pPr>
      <w:r>
        <w:t>14.0 Definition of Assay Cut-off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{dmfAssayCutoff}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Population, specimen characterisation and statistical method used to set cut-off and gray/equivocal zone.</w:t>
      </w:r>
    </w:p>
    <w:p>
      <w:pPr>
        <w:pStyle w:val="Heading1"/>
      </w:pPr>
      <w:r>
        <w:t>15.0 Stability Overview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{dmfStabilityOverview}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Overview of shelf-life, in-use and shipping stability studies and claims.</w:t>
      </w:r>
    </w:p>
    <w:p>
      <w:pPr>
        <w:pStyle w:val="Heading1"/>
      </w:pPr>
      <w:r>
        <w:t>16.0 Claimed Shelf Life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{dmfShelfLife}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At least three lots; protocol, acceptance criteria, intervals, real-time/accelerated method, results and conclusion.</w:t>
      </w:r>
    </w:p>
    <w:p>
      <w:pPr>
        <w:pStyle w:val="Heading1"/>
      </w:pPr>
      <w:r>
        <w:t>17.0 In-use Stability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{dmfInUseStability}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One-lot actual/simulated routine use, open-vial/on-board/calibration stability, protocol, intervals, results and conclusion.</w:t>
      </w:r>
    </w:p>
    <w:p>
      <w:pPr>
        <w:pStyle w:val="Heading1"/>
      </w:pPr>
      <w:r>
        <w:t>18.0 Shipping Stability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{dmfShippingStability}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One-lot real/simulated shipping conditions, extremes, protocol, acceptance criteria, results, conclusion and recommended conditions.</w:t>
      </w:r>
    </w:p>
    <w:p>
      <w:pPr>
        <w:pStyle w:val="Heading1"/>
      </w:pPr>
      <w:r>
        <w:t>19.0 Clinical Evidence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{dmfClinicalEvidence}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Clinical performance evidence/evaluation supporting conformity with applicable Essential Principles.</w:t>
      </w:r>
    </w:p>
    <w:p>
      <w:pPr>
        <w:pStyle w:val="Heading1"/>
      </w:pPr>
      <w:r>
        <w:t>20.0 Labelling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{dmfLabelling}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Cross-reference the complete label set and product insert/IFU for all packaging levels.</w:t>
      </w:r>
    </w:p>
    <w:p>
      <w:pPr>
        <w:pStyle w:val="Heading1"/>
      </w:pPr>
      <w:r>
        <w:t>21.0 Post-Marketing Surveillance / Vigilance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{dmfPMS}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Procedures and data for complaints, adverse events, vigilance, FSCA and CAPA; state if not yet marketed.</w:t>
      </w:r>
    </w:p>
    <w:p>
      <w:pPr>
        <w:pStyle w:val="Heading1"/>
      </w:pPr>
      <w:r>
        <w:t>22.0 Additional IVD Information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{dmfAdditionalIVDInformation}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Source/characterisation of antigen/antibody; coating and process controls; composition and flowcharts; test protocol and in-house sensitivity/specificity/stability; origin-country evaluation for import; three-batch reports; component reports; pack size; inserts; India-specific evaluation if available; safe handling/material/area/process/storage/packaging controls.</w:t>
      </w:r>
    </w:p>
    <w:p>
      <w:pPr>
        <w:pStyle w:val="Heading1"/>
      </w:pPr>
      <w:r>
        <w:t>Regulatory approvals table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100"/>
        <w:gridCol w:w="2000"/>
        <w:gridCol w:w="1250"/>
        <w:gridCol w:w="1550"/>
        <w:gridCol w:w="850"/>
        <w:gridCol w:w="1200"/>
        <w:gridCol w:w="956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Country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Approved indication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Approved shelf life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Composition / configuration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Risk class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First approval date</w:t>
            </w:r>
          </w:p>
        </w:tc>
        <w:tc>
          <w:tcPr>
            <w:tcW w:type="dxa" w:w="9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{#dmfRegulatoryApprovals}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{country}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{approvedIndication}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{approvedShelfLife}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{composition}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{riskClass}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{firstApprovalDate}</w:t>
            </w:r>
          </w:p>
        </w:tc>
        <w:tc>
          <w:tcPr>
            <w:tcW w:type="dxa" w:w="9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{evidence}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{/dmfRegulatoryApprovals}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Annexure index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3900"/>
        <w:gridCol w:w="2300"/>
        <w:gridCol w:w="1806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Annexure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/ report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number/version</w:t>
            </w:r>
          </w:p>
        </w:tc>
        <w:tc>
          <w:tcPr>
            <w:tcW w:type="dxa" w:w="18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Location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{#dmfAnnexures}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{annexureNumber}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{documentTitle}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{numberVersion}</w:t>
            </w:r>
          </w:p>
        </w:tc>
        <w:tc>
          <w:tcPr>
            <w:tcW w:type="dxa" w:w="18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{location}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{/dmfAnnexures}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IVD Device Master File</dc:title>
  <dc:subject>Appendix III device master file</dc:subject>
  <dc:creator>Medical Doc Generator</dc:creator>
  <cp:keywords>MD-28, IVD DMF, Appendix III, Fourth Schedule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