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RISK MANAGEMENT REPORT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Form MD-28 technical dossier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Document No. / Revision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{documentNumber} / {documentRevision}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Effective / Report Date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{documentDate}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Regulatory basis</w:t>
            </w:r>
          </w:p>
        </w:tc>
        <w:tc>
          <w:tcPr>
            <w:tcW w:type="dxa" w:w="66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Fourth Schedule, Part IV risk management data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 w:val="0"/>
        <w:spacing w:before="0" w:after="16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Replace every placeholder with verified information. Where a heading is not applicable, state ‘Not applicable’ and give a concise technical reason; do not delete required headings.</w:t>
      </w:r>
    </w:p>
    <w:p>
      <w:pPr>
        <w:pStyle w:val="Heading1"/>
      </w:pPr>
      <w:r>
        <w:t>1. Scope and device lifecycle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{riskScope}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device/models, intended use, reasonably foreseeable misuse and lifecycle phases covered.</w:t>
      </w:r>
    </w:p>
    <w:p>
      <w:pPr>
        <w:pStyle w:val="Heading1"/>
      </w:pPr>
      <w:r>
        <w:t>2. Risk management process and responsibilities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{riskManagementProcess}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Identify the controlled procedure, team, competence, risk acceptability policy and recognized standard(s), if used.</w:t>
      </w:r>
    </w:p>
    <w:p>
      <w:pPr>
        <w:pStyle w:val="Heading1"/>
      </w:pPr>
      <w:r>
        <w:t>3. Device characteristics related to safety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{safetyCharacteristics}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characteristics that could affect safety or performance.</w:t>
      </w:r>
    </w:p>
    <w:p>
      <w:pPr>
        <w:pStyle w:val="Heading1"/>
      </w:pPr>
      <w:r>
        <w:t>4. Hazard analysis and risk controls</w:t>
      </w:r>
    </w:p>
    <w:p>
      <w:pPr>
        <w:keepNext w:val="0"/>
        <w:keepLines w:val="0"/>
        <w:spacing w:before="0" w:after="10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For IVDs include false-positive, false-negative, invalid result, instability, specimen, reagent and user-related hazards.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350"/>
        <w:gridCol w:w="2000"/>
        <w:gridCol w:w="850"/>
        <w:gridCol w:w="1900"/>
        <w:gridCol w:w="1700"/>
        <w:gridCol w:w="1106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Hazard / sequence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Hazardous situation and harm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Initial risk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Risk control(s)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Verification evidence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Residual risk</w:t>
            </w:r>
          </w:p>
        </w:tc>
      </w:tr>
      <w:tr>
        <w:trPr>
          <w:cantSplit w:val="true"/>
        </w:trPr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{#riskAnalysis}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{hazardSequence}</w:t>
            </w:r>
          </w:p>
        </w:tc>
        <w:tc>
          <w:tcPr>
            <w:tcW w:type="dxa" w:w="20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{hazardousSituationHarm}</w:t>
            </w:r>
          </w:p>
        </w:tc>
        <w:tc>
          <w:tcPr>
            <w:tcW w:type="dxa" w:w="8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{initialRisk}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{riskControls}</w:t>
            </w:r>
          </w:p>
        </w:tc>
        <w:tc>
          <w:tcPr>
            <w:tcW w:type="dxa" w:w="17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{verificationEvidence}</w:t>
            </w:r>
          </w:p>
        </w:tc>
        <w:tc>
          <w:tcPr>
            <w:tcW w:type="dxa" w:w="11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{residualRisk}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{/riskAnalysis}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5. Production and post-production information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{productionPostProductionRisk}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Summarise complaint, vigilance, trend, CAPA and post-market inputs considered; state if the device is not yet marketed.</w:t>
      </w:r>
    </w:p>
    <w:p>
      <w:pPr>
        <w:pStyle w:val="Heading1"/>
      </w:pPr>
      <w:r>
        <w:t>6. Overall residual risk and benefit–risk evaluation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{overallResidualRiskBenefit}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Evaluate cumulative residual risk against the anticipated clinical benefit and intended performance.</w:t>
      </w:r>
    </w:p>
    <w:p>
      <w:pPr>
        <w:pStyle w:val="Heading1"/>
      </w:pPr>
      <w:r>
        <w:t>7. Risk management conclusion</w:t>
      </w:r>
    </w:p>
    <w:p>
      <w:pPr>
        <w:keepNext w:val="0"/>
        <w:keepLines/>
        <w:spacing w:before="0" w:after="20" w:line="259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{riskManagementConclusion}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8"/>
        </w:rPr>
        <w:br/>
        <w:br/>
        <w:br/>
      </w:r>
    </w:p>
    <w:p>
      <w:pPr>
        <w:keepNext w:val="0"/>
        <w:keepLines w:val="0"/>
        <w:spacing w:before="0" w:after="80" w:line="252" w:lineRule="auto"/>
      </w:pPr>
      <w:r>
        <w:rPr>
          <w:rFonts w:ascii="Times New Roman" w:hAnsi="Times New Roman" w:cs="Times New Roman"/>
          <w:b w:val="0"/>
          <w:i/>
          <w:vanish w:val="0"/>
          <w:color w:val="666666"/>
          <w:sz w:val="17"/>
        </w:rPr>
        <w:t>State whether the plan has been implemented, controls verified and overall residual risk accepted by authorised management.</w:t>
      </w:r>
    </w:p>
    <w:p>
      <w:pPr>
        <w:pStyle w:val="Heading1"/>
      </w:pPr>
      <w:r>
        <w:t>Approval and certification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550"/>
        <w:gridCol w:w="2100"/>
        <w:gridCol w:w="1900"/>
        <w:gridCol w:w="1450"/>
        <w:gridCol w:w="1906"/>
      </w:tblGrid>
      <w:tr>
        <w:trPr>
          <w:tblHeader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Designation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Prepared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{preparedDate}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Reviewed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{reviewedDate}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  <w:tr>
        <w:trPr>
          <w:cantSplit w:val="true"/>
        </w:trPr>
        <w:tc>
          <w:tcPr>
            <w:tcW w:type="dxa" w:w="15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Approved by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{approvedByName}</w:t>
            </w:r>
          </w:p>
        </w:tc>
        <w:tc>
          <w:tcPr>
            <w:tcW w:type="dxa" w:w="1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{approvedByDesignation}</w:t>
            </w:r>
          </w:p>
        </w:tc>
        <w:tc>
          <w:tcPr>
            <w:tcW w:type="dxa" w:w="14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{approvedDate}</w:t>
            </w:r>
          </w:p>
        </w:tc>
        <w:tc>
          <w:tcPr>
            <w:tcW w:type="dxa" w:w="19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________________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MD-28 New IVD Permission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MD-28 Risk Management Report</dc:title>
  <dc:subject>Risk analysis and control report</dc:subject>
  <dc:creator>Medical Doc Generator</dc:creator>
  <cp:keywords>MD-28, risk management, benefit risk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