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CLINICAL PERFORMANCE EVALUATION DATA REPORT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Form MD-28 | New in vitro diagnostic medical device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{ivdGenericName}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No. / Revision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{documentNumber} / {documentRevision}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Effective / Report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Regulatory basis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Fourth Schedule, Part IV(b)(3)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6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Replace every placeholder with verified information. Where a heading is not applicable, state ‘Not applicable’ and give a concise technical reason; do not delete required headings.</w:t>
      </w:r>
    </w:p>
    <w:p>
      <w:pPr>
        <w:pStyle w:val="Heading1"/>
      </w:pPr>
      <w:r>
        <w:t>1. Evaluation identification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{cpeIdentification}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Study title, plan number/version/date, Sponsor, laboratories/sites, investigators, Ethics Committee approvals, CTRI reference if applicable, study dates and report version.</w:t>
      </w:r>
    </w:p>
    <w:p>
      <w:pPr>
        <w:pStyle w:val="Heading1"/>
      </w:pPr>
      <w:r>
        <w:t>2. Objective and claimed performance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{cpeObjectivesClaims}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State primary/secondary objectives and the clinical performance claims to be evaluated.</w:t>
      </w:r>
    </w:p>
    <w:p>
      <w:pPr>
        <w:pStyle w:val="Heading1"/>
      </w:pPr>
      <w:r>
        <w:t>3. Device, comparator and reference method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{cpeDeviceComparator}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Identify device/lot/software, comparator/reference method and traceability; explain any change during evaluation.</w:t>
      </w:r>
    </w:p>
    <w:p>
      <w:pPr>
        <w:pStyle w:val="Heading1"/>
      </w:pPr>
      <w:r>
        <w:t>4. Specimens and population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{cpeSpecimensPopulation}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Sources, inclusion/exclusion, demographics/clinical spectrum, specimen types, collection/handling/storage, sample size and disposition.</w:t>
      </w:r>
    </w:p>
    <w:p>
      <w:pPr>
        <w:pStyle w:val="Heading1"/>
      </w:pPr>
      <w:r>
        <w:t>5. Study design and conduct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{cpeDesignConduct}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Design, sites/operators, blinding, sequence, invalid/retest rules, deviations and quality controls.</w:t>
      </w:r>
    </w:p>
    <w:p>
      <w:pPr>
        <w:pStyle w:val="Heading1"/>
      </w:pPr>
      <w:r>
        <w:t>6. Statistical analysis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{cpeStatisticalAnalysis}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Analysis sets, endpoints, confidence intervals, missing/indeterminate results, subgroup analyses and acceptance criteria.</w:t>
      </w:r>
    </w:p>
    <w:p>
      <w:pPr>
        <w:pStyle w:val="Heading1"/>
      </w:pPr>
      <w:r>
        <w:t>7. Results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800"/>
        <w:gridCol w:w="700"/>
        <w:gridCol w:w="1400"/>
        <w:gridCol w:w="1500"/>
        <w:gridCol w:w="1900"/>
        <w:gridCol w:w="1606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Endpoint / subgroup</w:t>
            </w:r>
          </w:p>
        </w:tc>
        <w:tc>
          <w:tcPr>
            <w:tcW w:type="dxa" w:w="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N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Estimate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Confidence interval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Acceptance criterion</w:t>
            </w:r>
          </w:p>
        </w:tc>
        <w:tc>
          <w:tcPr>
            <w:tcW w:type="dxa" w:w="1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Conclusion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{#cpeResults}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{endpointSubgroup}</w:t>
            </w:r>
          </w:p>
        </w:tc>
        <w:tc>
          <w:tcPr>
            <w:tcW w:type="dxa" w:w="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{sampleSize}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{estimate}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{confidenceInterval}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{acceptanceCriterion}</w:t>
            </w:r>
          </w:p>
        </w:tc>
        <w:tc>
          <w:tcPr>
            <w:tcW w:type="dxa" w:w="1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{conclusion}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{/cpeResults}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8. Invalid, discrepant and adverse outcomes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{cpeInvalidDiscrepantOutcomes}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Account for invalid/indeterminate/discrepant results, specimen exclusions, user issues and any safety event.</w:t>
      </w:r>
    </w:p>
    <w:p>
      <w:pPr>
        <w:pStyle w:val="Heading1"/>
      </w:pPr>
      <w:r>
        <w:t>9. Discussion, limitations and applicability to India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{cpeDiscussion}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Interpret clinical sensitivity/specificity or other applicable performance, bias, limitations, population spectrum and Indian-use applicability.</w:t>
      </w:r>
    </w:p>
    <w:p>
      <w:pPr>
        <w:pStyle w:val="Heading1"/>
      </w:pPr>
      <w:r>
        <w:t>10. Conclusion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{cpeConclusion}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State whether the evaluation supports the intended use and each claimed clinical performance characteristic.</w:t>
      </w:r>
    </w:p>
    <w:p>
      <w:pPr>
        <w:pStyle w:val="Heading1"/>
      </w:pPr>
      <w:r>
        <w:t>11. Appendices and evidence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900"/>
        <w:gridCol w:w="3900"/>
        <w:gridCol w:w="1700"/>
        <w:gridCol w:w="2406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Appendix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Document / data listing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Version/date</w:t>
            </w:r>
          </w:p>
        </w:tc>
        <w:tc>
          <w:tcPr>
            <w:tcW w:type="dxa" w:w="2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File reference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{#cpeAppendices}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{appendixNumber}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{document}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{versionDate}</w:t>
            </w:r>
          </w:p>
        </w:tc>
        <w:tc>
          <w:tcPr>
            <w:tcW w:type="dxa" w:w="2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{fileReference}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{/cpeAppendices}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Approval and certification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50"/>
        <w:gridCol w:w="2100"/>
        <w:gridCol w:w="1900"/>
        <w:gridCol w:w="1450"/>
        <w:gridCol w:w="1906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Designation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Prepared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Reviewed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Approved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MD-28 New IVD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MD-28 Clinical Performance Evaluation Data Report</dc:title>
  <dc:subject>Clinical performance evaluation data report</dc:subject>
  <dc:creator>Medical Doc Generator</dc:creator>
  <cp:keywords>MD-28, clinical performance evaluation, IVD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