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STABILITY STUDY REPORT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Form MD-28 | IVD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Fourth Schedule stability data requirement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pStyle w:val="Heading1"/>
      </w:pPr>
      <w:r>
        <w:t>1. Product and study identification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{stabilityStudyIdentification}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Identify product/configuration, formulation/materials, packaging, study number, study type, dates and responsible facility.</w:t>
      </w:r>
    </w:p>
    <w:p>
      <w:pPr>
        <w:pStyle w:val="Heading1"/>
      </w:pPr>
      <w:r>
        <w:t>2. Claim to be supported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{stabilityClaim}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State claimed shelf life, storage conditions and, where applicable, in-use/open-vial/on-board and shipping claims.</w:t>
      </w:r>
    </w:p>
    <w:p>
      <w:pPr>
        <w:pStyle w:val="Heading1"/>
      </w:pPr>
      <w:r>
        <w:t>3. Lots / batches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00"/>
        <w:gridCol w:w="1500"/>
        <w:gridCol w:w="2100"/>
        <w:gridCol w:w="1900"/>
        <w:gridCol w:w="1906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Lot / batch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Manufacture date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Scale / site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Packaging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Study type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{#stabilityLots}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{lotNumber}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{manufactureDate}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{scaleSite}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{packaging}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{studyType}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{/stabilityLots}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4. Protocol and storage / challenge conditions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{stabilityProtocolConditions}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Describe real-time/accelerated conditions, in-use simulation, shipping simulation, sample allocation and pull schedule.</w:t>
      </w:r>
    </w:p>
    <w:p>
      <w:pPr>
        <w:pStyle w:val="Heading1"/>
      </w:pPr>
      <w:r>
        <w:t>5. Tests and acceptance criteria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800"/>
        <w:gridCol w:w="2800"/>
        <w:gridCol w:w="2400"/>
        <w:gridCol w:w="1906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Parameter</w:t>
            </w:r>
          </w:p>
        </w:tc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Method / protocol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Acceptance criterion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Test intervals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{#stabilityTests}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{parameter}</w:t>
            </w:r>
          </w:p>
        </w:tc>
        <w:tc>
          <w:tcPr>
            <w:tcW w:type="dxa" w:w="2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{methodReference}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{acceptanceCriterion}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{intervals}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{/stabilityTests}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6. Results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200"/>
        <w:gridCol w:w="1600"/>
        <w:gridCol w:w="1700"/>
        <w:gridCol w:w="1400"/>
        <w:gridCol w:w="900"/>
        <w:gridCol w:w="2106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Lot</w:t>
            </w:r>
          </w:p>
        </w:tc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Condition / interval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Parameter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Result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Pass / fail</w:t>
            </w:r>
          </w:p>
        </w:tc>
        <w:tc>
          <w:tcPr>
            <w:tcW w:type="dxa" w:w="2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Deviation / comment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{#stabilityResults}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{lotNumber}</w:t>
            </w:r>
          </w:p>
        </w:tc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{conditionInterval}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{parameter}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{result}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{status}</w:t>
            </w:r>
          </w:p>
        </w:tc>
        <w:tc>
          <w:tcPr>
            <w:tcW w:type="dxa" w:w="2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{comment}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{/stabilityResults}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7. Deviations and statistical analysis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{stabilityDeviationsAnalysis}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Document deviations, OOS/OOT results, trend/statistical analysis and their impact.</w:t>
      </w:r>
    </w:p>
    <w:p>
      <w:pPr>
        <w:pStyle w:val="Heading1"/>
      </w:pPr>
      <w:r>
        <w:t>8. Shelf-life conclusion (minimum three lots)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{shelfLifeConclusion}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Conclude the supported shelf life from at least three lots, identifying real-time/accelerated basis and ongoing commitments.</w:t>
      </w:r>
    </w:p>
    <w:p>
      <w:pPr>
        <w:pStyle w:val="Heading1"/>
      </w:pPr>
      <w:r>
        <w:t>9. In-use stability conclusion (minimum one lot)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{inUseConclusion}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Conclude open-vial/on-board/calibration stability under actual or simulated routine use.</w:t>
      </w:r>
    </w:p>
    <w:p>
      <w:pPr>
        <w:pStyle w:val="Heading1"/>
      </w:pPr>
      <w:r>
        <w:t>10. Shipping stability conclusion (minimum one lot)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{shippingConclusion}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Conclude tolerance to anticipated shipping conditions and specify recommended conditions.</w:t>
      </w: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MD-28 New IVD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MD-28 Stability Study Report</dc:title>
  <dc:subject>Stability data report</dc:subject>
  <dc:creator>Medical Doc Generator</dc:creator>
  <cp:keywords>MD-28, stability, shelf life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