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 w:val="0"/>
        <w:keepLines w:val="0"/>
        <w:spacing w:before="0" w:after="160" w:line="252" w:lineRule="auto"/>
        <w:jc w:val="right"/>
      </w:pPr>
      <w:r>
        <w:rPr>
          <w:rFonts w:ascii="Times New Roman" w:hAnsi="Times New Roman" w:cs="Times New Roman"/>
          <w:b w:val="0"/>
          <w:i w:val="0"/>
          <w:vanish w:val="0"/>
          <w:color w:val="000000"/>
          <w:sz w:val="20"/>
        </w:rPr>
        <w:t>Date: {applicationDate}</w:t>
      </w:r>
    </w:p>
    <w:p>
      <w:pPr>
        <w:keepNext/>
        <w:keepLines w:val="0"/>
        <w:spacing w:before="0" w:after="0" w:line="240" w:lineRule="auto"/>
      </w:pPr>
      <w:r>
        <w:rPr>
          <w:rFonts w:ascii="Times New Roman" w:hAnsi="Times New Roman" w:cs="Times New Roman"/>
          <w:b w:val="0"/>
          <w:i w:val="0"/>
          <w:vanish w:val="0"/>
          <w:color w:val="000000"/>
          <w:sz w:val="20"/>
        </w:rPr>
        <w:t>To,</w:t>
      </w:r>
    </w:p>
    <w:p>
      <w:pPr>
        <w:keepNext/>
        <w:keepLines w:val="0"/>
        <w:spacing w:before="0" w:after="0" w:line="240" w:lineRule="auto"/>
      </w:pPr>
      <w:r>
        <w:rPr>
          <w:rFonts w:ascii="Times New Roman" w:hAnsi="Times New Roman" w:cs="Times New Roman"/>
          <w:b/>
          <w:i w:val="0"/>
          <w:vanish w:val="0"/>
          <w:color w:val="000000"/>
          <w:sz w:val="20"/>
        </w:rPr>
        <w:t>The Central Licensing Authority</w:t>
      </w:r>
    </w:p>
    <w:p>
      <w:pPr>
        <w:keepNext/>
        <w:keepLines w:val="0"/>
        <w:spacing w:before="0" w:after="0" w:line="240" w:lineRule="auto"/>
      </w:pPr>
      <w:r>
        <w:rPr>
          <w:rFonts w:ascii="Times New Roman" w:hAnsi="Times New Roman" w:cs="Times New Roman"/>
          <w:b w:val="0"/>
          <w:i w:val="0"/>
          <w:vanish w:val="0"/>
          <w:color w:val="000000"/>
          <w:sz w:val="20"/>
        </w:rPr>
        <w:t>Central Drugs Standard Control Organisation</w:t>
      </w:r>
    </w:p>
    <w:p>
      <w:pPr>
        <w:keepNext/>
        <w:keepLines w:val="0"/>
        <w:spacing w:before="0" w:after="0" w:line="240" w:lineRule="auto"/>
      </w:pPr>
      <w:r>
        <w:rPr>
          <w:rFonts w:ascii="Times New Roman" w:hAnsi="Times New Roman" w:cs="Times New Roman"/>
          <w:b w:val="0"/>
          <w:i w:val="0"/>
          <w:vanish w:val="0"/>
          <w:color w:val="000000"/>
          <w:sz w:val="20"/>
        </w:rPr>
        <w:t>Directorate General of Health Services</w:t>
      </w:r>
    </w:p>
    <w:p>
      <w:pPr>
        <w:keepNext/>
        <w:keepLines w:val="0"/>
        <w:spacing w:before="0" w:after="0" w:line="240" w:lineRule="auto"/>
      </w:pPr>
      <w:r>
        <w:rPr>
          <w:rFonts w:ascii="Times New Roman" w:hAnsi="Times New Roman" w:cs="Times New Roman"/>
          <w:b w:val="0"/>
          <w:i w:val="0"/>
          <w:vanish w:val="0"/>
          <w:color w:val="000000"/>
          <w:sz w:val="20"/>
        </w:rPr>
        <w:t>Ministry of Health &amp; Family Welfare, Government of India</w:t>
      </w:r>
    </w:p>
    <w:p>
      <w:pPr>
        <w:keepNext/>
        <w:keepLines w:val="0"/>
        <w:spacing w:before="0" w:after="0" w:line="240" w:lineRule="auto"/>
      </w:pPr>
      <w:r>
        <w:rPr>
          <w:rFonts w:ascii="Times New Roman" w:hAnsi="Times New Roman" w:cs="Times New Roman"/>
          <w:b w:val="0"/>
          <w:i w:val="0"/>
          <w:vanish w:val="0"/>
          <w:color w:val="000000"/>
          <w:sz w:val="20"/>
        </w:rPr>
        <w:t>FDA Bhawan, ITO, Kotla Road, New Delhi - 110002</w:t>
      </w:r>
    </w:p>
    <w:p>
      <w:pPr>
        <w:keepNext w:val="0"/>
        <w:keepLines w:val="0"/>
        <w:spacing w:before="0" w:after="80" w:line="252" w:lineRule="auto"/>
      </w:pPr>
    </w:p>
    <w:p>
      <w:pPr>
        <w:keepNext/>
        <w:keepLines w:val="0"/>
        <w:spacing w:before="0" w:after="140" w:line="252" w:lineRule="auto"/>
      </w:pPr>
      <w:r>
        <w:rPr>
          <w:rFonts w:ascii="Times New Roman" w:hAnsi="Times New Roman" w:cs="Times New Roman"/>
          <w:b/>
          <w:i w:val="0"/>
          <w:vanish w:val="0"/>
          <w:color w:val="000000"/>
          <w:sz w:val="21"/>
        </w:rPr>
        <w:t xml:space="preserve">Subject: </w:t>
      </w:r>
      <w:r>
        <w:rPr>
          <w:rFonts w:ascii="Times New Roman" w:hAnsi="Times New Roman" w:cs="Times New Roman"/>
          <w:b/>
          <w:i w:val="0"/>
          <w:vanish w:val="0"/>
          <w:color w:val="000000"/>
          <w:sz w:val="21"/>
        </w:rPr>
        <w:t>Request regarding non-requirement / abbreviation / deferral / waiver of clinical performance evaluation data for {ivdGenericName}</w:t>
      </w:r>
    </w:p>
    <w:p>
      <w:pPr>
        <w:keepNext w:val="0"/>
        <w:keepLines w:val="0"/>
        <w:spacing w:before="0" w:after="100" w:line="269" w:lineRule="auto"/>
        <w:jc w:val="left"/>
      </w:pPr>
      <w:r>
        <w:rPr>
          <w:rFonts w:ascii="Times New Roman" w:hAnsi="Times New Roman" w:cs="Times New Roman"/>
          <w:b w:val="0"/>
          <w:i w:val="0"/>
          <w:vanish w:val="0"/>
          <w:color w:val="000000"/>
          <w:sz w:val="21"/>
        </w:rPr>
        <w:t>Respected Sir/Madam,</w:t>
      </w:r>
    </w:p>
    <w:p>
      <w:pPr>
        <w:keepNext w:val="0"/>
        <w:keepLines w:val="0"/>
        <w:spacing w:before="0" w:after="100" w:line="269" w:lineRule="auto"/>
        <w:jc w:val="left"/>
      </w:pPr>
      <w:r>
        <w:rPr>
          <w:rFonts w:ascii="Times New Roman" w:hAnsi="Times New Roman" w:cs="Times New Roman"/>
          <w:b w:val="0"/>
          <w:i w:val="0"/>
          <w:vanish w:val="0"/>
          <w:color w:val="000000"/>
          <w:sz w:val="21"/>
        </w:rPr>
        <w:t>We, {applicantName}, request consideration of {cpeReliefRequested} for {ivdGenericName}, proposed as Class {deviceClass}, under the applicable proviso to rule 64 and/or other written discretion available to the Central Licensing Authority.</w:t>
      </w:r>
    </w:p>
    <w:p>
      <w:pPr>
        <w:keepNext w:val="0"/>
        <w:keepLines w:val="0"/>
        <w:spacing w:before="0" w:after="100" w:line="269" w:lineRule="auto"/>
        <w:jc w:val="left"/>
      </w:pPr>
      <w:r>
        <w:rPr>
          <w:rFonts w:ascii="Times New Roman" w:hAnsi="Times New Roman" w:cs="Times New Roman"/>
          <w:b w:val="0"/>
          <w:i w:val="0"/>
          <w:vanish w:val="0"/>
          <w:color w:val="000000"/>
          <w:sz w:val="21"/>
        </w:rPr>
        <w:t>The device is intended for {intendedUse}. The factual and scientific basis for this request is: {cpeWaiverBasis}.</w:t>
      </w:r>
    </w:p>
    <w:p>
      <w:pPr>
        <w:keepNext w:val="0"/>
        <w:keepLines w:val="0"/>
        <w:spacing w:before="0" w:after="100" w:line="269" w:lineRule="auto"/>
        <w:jc w:val="left"/>
      </w:pPr>
      <w:r>
        <w:rPr>
          <w:rFonts w:ascii="Times New Roman" w:hAnsi="Times New Roman" w:cs="Times New Roman"/>
          <w:b w:val="0"/>
          <w:i w:val="0"/>
          <w:vanish w:val="0"/>
          <w:color w:val="000000"/>
          <w:sz w:val="21"/>
        </w:rPr>
        <w:t>The supporting analytical performance, validation, stability, risk management, clinical evidence, comparator/literature and public-health information is indexed in Annexure {cpeWaiverEvidenceAnnexure}.</w:t>
      </w:r>
    </w:p>
    <w:p>
      <w:pPr>
        <w:keepNext w:val="0"/>
        <w:keepLines w:val="0"/>
        <w:spacing w:before="0" w:after="100" w:line="269" w:lineRule="auto"/>
        <w:jc w:val="left"/>
      </w:pPr>
      <w:r>
        <w:rPr>
          <w:rFonts w:ascii="Times New Roman" w:hAnsi="Times New Roman" w:cs="Times New Roman"/>
          <w:b w:val="0"/>
          <w:i w:val="0"/>
          <w:vanish w:val="0"/>
          <w:color w:val="000000"/>
          <w:sz w:val="21"/>
        </w:rPr>
        <w:t>We understand that Class A status does not create an automatic waiver and that the Central Licensing Authority may require clinical performance evaluation data depending on the nature of the device. We therefore request a written determination.</w:t>
      </w:r>
    </w:p>
    <w:p>
      <w:pPr>
        <w:keepNext w:val="0"/>
        <w:keepLines w:val="0"/>
        <w:spacing w:before="0" w:after="100" w:line="269" w:lineRule="auto"/>
        <w:jc w:val="left"/>
      </w:pPr>
      <w:r>
        <w:rPr>
          <w:rFonts w:ascii="Times New Roman" w:hAnsi="Times New Roman" w:cs="Times New Roman"/>
          <w:b w:val="0"/>
          <w:i w:val="0"/>
          <w:vanish w:val="0"/>
          <w:color w:val="000000"/>
          <w:sz w:val="21"/>
        </w:rPr>
        <w:t>All material adverse information and regulatory restrictions known to the applicant have been disclosed in the dossier.</w:t>
      </w:r>
    </w:p>
    <w:p>
      <w:pPr>
        <w:keepNext w:val="0"/>
        <w:keepLines w:val="0"/>
        <w:spacing w:before="0" w:after="160" w:line="269" w:lineRule="auto"/>
        <w:jc w:val="left"/>
      </w:pPr>
      <w:r>
        <w:rPr>
          <w:rFonts w:ascii="Times New Roman" w:hAnsi="Times New Roman" w:cs="Times New Roman"/>
          <w:b w:val="0"/>
          <w:i w:val="0"/>
          <w:vanish w:val="0"/>
          <w:color w:val="000000"/>
          <w:sz w:val="21"/>
        </w:rPr>
        <w:t>Yours faithfully,</w:t>
      </w:r>
    </w:p>
    <w:p>
      <w:pPr>
        <w:keepNext/>
        <w:keepLines w:val="0"/>
        <w:spacing w:before="0" w:after="20" w:line="252" w:lineRule="auto"/>
        <w:jc w:val="right"/>
      </w:pPr>
      <w:r>
        <w:rPr>
          <w:rFonts w:ascii="Times New Roman" w:hAnsi="Times New Roman" w:cs="Times New Roman"/>
          <w:b w:val="0"/>
          <w:i w:val="0"/>
          <w:vanish w:val="0"/>
          <w:color w:val="000000"/>
          <w:sz w:val="19"/>
        </w:rPr>
        <w:t>Signature: ______________________________</w:t>
      </w:r>
    </w:p>
    <w:p>
      <w:pPr>
        <w:keepNext/>
        <w:keepLines w:val="0"/>
        <w:spacing w:before="0" w:after="0" w:line="252" w:lineRule="auto"/>
        <w:jc w:val="right"/>
      </w:pPr>
      <w:r>
        <w:rPr>
          <w:rFonts w:ascii="Times New Roman" w:hAnsi="Times New Roman" w:cs="Times New Roman"/>
          <w:b/>
          <w:i w:val="0"/>
          <w:vanish w:val="0"/>
          <w:color w:val="000000"/>
          <w:sz w:val="19"/>
        </w:rPr>
        <w:t>{authorisedSignatoryName}</w:t>
      </w:r>
    </w:p>
    <w:p>
      <w:pPr>
        <w:keepNext w:val="0"/>
        <w:keepLines w:val="0"/>
        <w:spacing w:before="0" w:after="0" w:line="252" w:lineRule="auto"/>
        <w:jc w:val="right"/>
      </w:pPr>
      <w:r>
        <w:rPr>
          <w:rFonts w:ascii="Times New Roman" w:hAnsi="Times New Roman" w:cs="Times New Roman"/>
          <w:b w:val="0"/>
          <w:i w:val="0"/>
          <w:vanish w:val="0"/>
          <w:color w:val="000000"/>
          <w:sz w:val="19"/>
        </w:rPr>
        <w:t>{authorisedSignatoryDesignation} | {applicantName}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40" w:right="1440" w:bottom="1247" w:left="1440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Times New Roman" w:hAnsi="Times New Roman" w:cs="Times New Roman"/>
        <w:b w:val="0"/>
        <w:i w:val="0"/>
        <w:vanish w:val="0"/>
        <w:color w:val="666666"/>
        <w:sz w:val="17"/>
      </w:rPr>
      <w:t xml:space="preserve">Page </w:t>
      <w:fldChar w:fldCharType="begin"/>
      <w:instrText xml:space="preserve"> PAGE 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right"/>
    </w:pPr>
    <w:r>
      <w:rPr>
        <w:rFonts w:ascii="Times New Roman" w:hAnsi="Times New Roman" w:cs="Times New Roman"/>
        <w:b w:val="0"/>
        <w:i w:val="0"/>
        <w:vanish w:val="0"/>
        <w:color w:val="666666"/>
        <w:sz w:val="16"/>
      </w:rPr>
      <w:t>MD-28 New IVD Permission Dossier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80" w:line="259" w:lineRule="auto"/>
    </w:pPr>
    <w:rPr>
      <w:rFonts w:ascii="Times New Roman" w:hAnsi="Times New Roman" w:cs="Times New Roman"/>
      <w:b w:val="0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00"/>
      <w:outlineLvl w:val="0"/>
    </w:pPr>
    <w:rPr>
      <w:rFonts w:asciiTheme="majorHAnsi" w:eastAsiaTheme="majorEastAsia" w:hAnsiTheme="majorHAnsi" w:cstheme="majorBidi" w:ascii="Times New Roman" w:hAnsi="Times New Roman" w:cs="Times New Roman"/>
      <w:b/>
      <w:bCs/>
      <w:color w:val="000000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80"/>
      <w:outlineLvl w:val="1"/>
    </w:pPr>
    <w:rPr>
      <w:rFonts w:asciiTheme="majorHAnsi" w:eastAsiaTheme="majorEastAsia" w:hAnsiTheme="majorHAnsi" w:cstheme="majorBidi" w:ascii="Times New Roman" w:hAnsi="Times New Roman" w:cs="Times New Roman"/>
      <w:b/>
      <w:bCs/>
      <w:color w:val="00000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40" w:after="60"/>
      <w:outlineLvl w:val="2"/>
    </w:pPr>
    <w:rPr>
      <w:rFonts w:asciiTheme="majorHAnsi" w:eastAsiaTheme="majorEastAsia" w:hAnsiTheme="majorHAnsi" w:cstheme="majorBidi" w:ascii="Times New Roman" w:hAnsi="Times New Roman" w:cs="Times New Roman"/>
      <w:b/>
      <w:bCs/>
      <w:color w:val="000000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MD-28 Clinical Performance Evaluation Waiver Request</dc:title>
  <dc:subject>Request regarding non-requirement / abbreviation / deferral / waiver of clinical performance evaluation data for {ivdGenericName}</dc:subject>
  <dc:creator>Medical Doc Generator</dc:creator>
  <cp:keywords>MD-28, letter, CDSCO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