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BIOCOMPATIBILITY AND ANIMAL PERFORMANCE SUMMARY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Conditional / as applicable | Form MD-26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IV(a)(2) and (4)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Applicability and biological evaluation rationale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{biocompatibilityApplicability}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materials, nature/duration of body contact, prior use and the rationale for selected biological endpoints or non-applicability.</w:t>
      </w:r>
    </w:p>
    <w:p>
      <w:pPr>
        <w:pStyle w:val="Heading1"/>
      </w:pPr>
      <w:r>
        <w:t>2. Biocompatibility evidence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00"/>
        <w:gridCol w:w="2100"/>
        <w:gridCol w:w="1700"/>
        <w:gridCol w:w="1850"/>
        <w:gridCol w:w="1756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Endpoint / test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Rationale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Standard / method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Laboratory / report</w:t>
            </w:r>
          </w:p>
        </w:tc>
        <w:tc>
          <w:tcPr>
            <w:tcW w:type="dxa" w:w="17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Result / conclusion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{#biocompatibilityEvidence}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{endpointTest}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{rationale}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{methodStandard}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{reportReference}</w:t>
            </w:r>
          </w:p>
        </w:tc>
        <w:tc>
          <w:tcPr>
            <w:tcW w:type="dxa" w:w="17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{resultConclusion}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{/biocompatibilityEvidence}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3. Biocompatibility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{biocompatibilityConclusion}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Conclude biological safety for intended use and identify residual concerns. Attach genuine signed test reports.</w:t>
      </w:r>
    </w:p>
    <w:p>
      <w:pPr>
        <w:pStyle w:val="Heading1"/>
      </w:pPr>
      <w:r>
        <w:t>4. Animal performance study applicability and rationale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{animalStudyApplicability}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why animal performance data are needed or why valid alternatives make the study not applicable.</w:t>
      </w:r>
    </w:p>
    <w:p>
      <w:pPr>
        <w:pStyle w:val="Heading1"/>
      </w:pPr>
      <w:r>
        <w:t>5. Animal study summary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2200"/>
        <w:gridCol w:w="1700"/>
        <w:gridCol w:w="1500"/>
        <w:gridCol w:w="170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Study / species / model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Objective and endpoints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Protocol / approvals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Results</w:t>
            </w:r>
          </w:p>
        </w:tc>
        <w:tc>
          <w:tcPr>
            <w:tcW w:type="dxa" w:w="1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Conclusion / report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{#animalStudies}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{studyModel}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{objectiveEndpoints}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{protocolApprovals}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{results}</w:t>
            </w:r>
          </w:p>
        </w:tc>
        <w:tc>
          <w:tcPr>
            <w:tcW w:type="dxa" w:w="1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{conclusionReport}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{/animalStudies}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6. Overall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{bioAnimalOverallConclusion}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how the combined evidence supports safety and performance; list attached signed reports.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Biocompatibility and Animal Performance Summary</dc:title>
  <dc:subject>Conditional biocompatibility and animal performance data summary</dc:subject>
  <dc:creator>Medical Doc Generator</dc:creator>
  <cp:keywords>MD-26, biocompatibility, animal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