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2" w:lineRule="auto"/>
        <w:jc w:val="center"/>
      </w:pPr>
      <w:r>
        <w:rPr>
          <w:rFonts w:ascii="Times New Roman" w:hAnsi="Times New Roman" w:cs="Times New Roman"/>
          <w:b/>
          <w:i w:val="0"/>
          <w:vanish w:val="0"/>
          <w:color w:val="000000"/>
          <w:sz w:val="32"/>
        </w:rPr>
        <w:t>SPONSOR-PRINCIPAL INVESTIGATOR AGREEMENT</w:t>
      </w:r>
    </w:p>
    <w:p>
      <w:pPr>
        <w:keepNext/>
        <w:keepLines w:val="0"/>
        <w:spacing w:before="0" w:after="240" w:line="252" w:lineRule="auto"/>
        <w:jc w:val="center"/>
      </w:pPr>
      <w:r>
        <w:rPr>
          <w:rFonts w:ascii="Times New Roman" w:hAnsi="Times New Roman" w:cs="Times New Roman"/>
          <w:b w:val="0"/>
          <w:i w:val="0"/>
          <w:vanish w:val="0"/>
          <w:color w:val="000000"/>
          <w:sz w:val="22"/>
        </w:rPr>
        <w:t>Clinical Investigation of an Investigational Medical Device</w:t>
      </w:r>
    </w:p>
    <w:p>
      <w:pPr>
        <w:keepNext w:val="0"/>
        <w:keepLines w:val="0"/>
        <w:spacing w:before="0" w:after="120" w:line="269" w:lineRule="auto"/>
        <w:jc w:val="left"/>
      </w:pPr>
      <w:r>
        <w:rPr>
          <w:rFonts w:ascii="Times New Roman" w:hAnsi="Times New Roman" w:cs="Times New Roman"/>
          <w:b w:val="0"/>
          <w:i w:val="0"/>
          <w:vanish w:val="0"/>
          <w:color w:val="000000"/>
          <w:sz w:val="21"/>
        </w:rPr>
        <w:t>This Agreement is made on {agreementEffectiveDate} between:</w:t>
      </w:r>
    </w:p>
    <w:tbl>
      <w:tblPr>
        <w:tblW w:w="5000" w:type="pct"/>
        <w:jc w:val="left"/>
        <w:tblLayout w:type="fixed"/>
        <w:tblLook w:firstColumn="1" w:firstRow="1" w:lastColumn="0" w:lastRow="0" w:noHBand="0" w:noVBand="1" w:val="04A0"/>
        <w:tblInd w:w="110" w:type="dxa"/>
      </w:tblPr>
      <w:tblGrid>
        <w:gridCol w:w="2300"/>
        <w:gridCol w:w="6606"/>
      </w:tblGrid>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Sponsor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{applicantName}, having its address at {sponsorAddress}</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Principal Investigator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{principalInvestigatorName}, {principalInvestigatorTitle}, having professional address at {clinicalSiteAddress}</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Clinical site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{clinicalSiteName} | {clinicalSiteAddress}</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Study</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{studyTitle}</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CIP</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{cipNumber}, dated {cipDate}</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Investigational device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{deviceGenericName} | {deviceModelOrType}</w:t>
            </w:r>
          </w:p>
        </w:tc>
      </w:tr>
    </w:tbl>
    <w:p>
      <w:pPr>
        <w:keepNext w:val="0"/>
        <w:keepLines w:val="0"/>
        <w:spacing w:before="0" w:after="20" w:line="252" w:lineRule="auto"/>
      </w:pPr>
    </w:p>
    <w:p>
      <w:pPr>
        <w:pStyle w:val="Heading1"/>
      </w:pPr>
      <w:r>
        <w:t>1. Appointment and Scope</w:t>
      </w:r>
    </w:p>
    <w:p>
      <w:pPr>
        <w:keepNext w:val="0"/>
        <w:keepLines w:val="0"/>
        <w:spacing w:before="0" w:after="100" w:line="269" w:lineRule="auto"/>
        <w:jc w:val="left"/>
      </w:pPr>
      <w:r>
        <w:rPr>
          <w:rFonts w:ascii="Times New Roman" w:hAnsi="Times New Roman" w:cs="Times New Roman"/>
          <w:b w:val="0"/>
          <w:i w:val="0"/>
          <w:vanish w:val="0"/>
          <w:color w:val="000000"/>
          <w:sz w:val="21"/>
        </w:rPr>
        <w:t>The Sponsor appoints the Principal Investigator to conduct the clinical investigation at the stated site in accordance with the approved CIP, the Medical Devices Rules, 2017, CDSCO Good Clinical Practices, Ethics Committee requirements and the terms of this Agreement.</w:t>
      </w:r>
    </w:p>
    <w:p>
      <w:pPr>
        <w:pStyle w:val="Heading1"/>
      </w:pPr>
      <w:r>
        <w:t>2. Sponsor Responsibilities</w:t>
      </w:r>
    </w:p>
    <w:p>
      <w:pPr>
        <w:keepNext w:val="0"/>
        <w:keepLines w:val="0"/>
        <w:spacing w:before="0" w:after="100" w:line="269" w:lineRule="auto"/>
        <w:jc w:val="left"/>
      </w:pPr>
      <w:r>
        <w:rPr>
          <w:rFonts w:ascii="Times New Roman" w:hAnsi="Times New Roman" w:cs="Times New Roman"/>
          <w:b w:val="0"/>
          <w:i w:val="0"/>
          <w:vanish w:val="0"/>
          <w:color w:val="000000"/>
          <w:sz w:val="21"/>
        </w:rPr>
        <w:t>The Sponsor shall provide the current CIP, Investigator's Brochure, investigational devices, applicable training, monitoring and safety information; maintain regulatory permissions; arrange medical management and compensation for investigation-related injury or death; and discharge all other sponsor duties required by applicable law.</w:t>
      </w:r>
    </w:p>
    <w:p>
      <w:pPr>
        <w:pStyle w:val="Heading1"/>
      </w:pPr>
      <w:r>
        <w:t>3. Principal Investigator Responsibilities</w:t>
      </w:r>
    </w:p>
    <w:p>
      <w:pPr>
        <w:keepNext w:val="0"/>
        <w:keepLines w:val="0"/>
        <w:spacing w:before="0" w:after="100" w:line="269" w:lineRule="auto"/>
        <w:jc w:val="left"/>
      </w:pPr>
      <w:r>
        <w:rPr>
          <w:rFonts w:ascii="Times New Roman" w:hAnsi="Times New Roman" w:cs="Times New Roman"/>
          <w:b w:val="0"/>
          <w:i w:val="0"/>
          <w:vanish w:val="0"/>
          <w:color w:val="000000"/>
          <w:sz w:val="21"/>
        </w:rPr>
        <w:t>The Principal Investigator shall personally conduct or supervise the investigation, protect participants' rights and safety, ensure qualified study staff, obtain and document informed consent, follow the approved CIP, maintain accurate source records and CRFs, and permit monitoring, audit and regulatory inspection.</w:t>
      </w:r>
    </w:p>
    <w:p>
      <w:pPr>
        <w:pStyle w:val="Heading1"/>
      </w:pPr>
      <w:r>
        <w:t>4. Ethics and Regulatory Approvals</w:t>
      </w:r>
    </w:p>
    <w:p>
      <w:pPr>
        <w:keepNext w:val="0"/>
        <w:keepLines w:val="0"/>
        <w:spacing w:before="0" w:after="100" w:line="269" w:lineRule="auto"/>
        <w:jc w:val="left"/>
      </w:pPr>
      <w:r>
        <w:rPr>
          <w:rFonts w:ascii="Times New Roman" w:hAnsi="Times New Roman" w:cs="Times New Roman"/>
          <w:b w:val="0"/>
          <w:i w:val="0"/>
          <w:vanish w:val="0"/>
          <w:color w:val="000000"/>
          <w:sz w:val="21"/>
        </w:rPr>
        <w:t>No participant shall be enrolled until the relevant Ethics Committee approval and Central Licensing Authority permission are available for the site. Amendments shall not be implemented without the required approvals, except to eliminate an immediate hazard to a participant.</w:t>
      </w:r>
    </w:p>
    <w:p>
      <w:pPr>
        <w:pStyle w:val="Heading1"/>
      </w:pPr>
      <w:r>
        <w:t>5. Safety Reporting</w:t>
      </w:r>
    </w:p>
    <w:p>
      <w:pPr>
        <w:keepNext w:val="0"/>
        <w:keepLines w:val="0"/>
        <w:spacing w:before="0" w:after="100" w:line="269" w:lineRule="auto"/>
        <w:jc w:val="left"/>
      </w:pPr>
      <w:r>
        <w:rPr>
          <w:rFonts w:ascii="Times New Roman" w:hAnsi="Times New Roman" w:cs="Times New Roman"/>
          <w:b w:val="0"/>
          <w:i w:val="0"/>
          <w:vanish w:val="0"/>
          <w:color w:val="000000"/>
          <w:sz w:val="21"/>
        </w:rPr>
        <w:t>The Principal Investigator shall report every serious adverse event to the Sponsor, Central Licensing Authority and approving Ethics Committee within forty-eight hours of occurrence and shall submit the detailed analysed report to the prescribed recipients within fourteen calendar days. Other adverse events and device deficiencies shall be reported within the timelines stated in the CIP.</w:t>
      </w:r>
    </w:p>
    <w:p>
      <w:pPr>
        <w:pStyle w:val="Heading1"/>
      </w:pPr>
      <w:r>
        <w:t>6. Medical Management, Compensation and Insurance</w:t>
      </w:r>
    </w:p>
    <w:p>
      <w:pPr>
        <w:keepNext w:val="0"/>
        <w:keepLines w:val="0"/>
        <w:spacing w:before="0" w:after="100" w:line="269" w:lineRule="auto"/>
        <w:jc w:val="left"/>
      </w:pPr>
      <w:r>
        <w:rPr>
          <w:rFonts w:ascii="Times New Roman" w:hAnsi="Times New Roman" w:cs="Times New Roman"/>
          <w:b w:val="0"/>
          <w:i w:val="0"/>
          <w:vanish w:val="0"/>
          <w:color w:val="000000"/>
          <w:sz w:val="21"/>
        </w:rPr>
        <w:t>The Sponsor or its authorised representative shall provide medical management and financial compensation for clinical-investigation-related injury or death in accordance with applicable law. Insurance details, where applicable, are: {insuranceDetails}.</w:t>
      </w:r>
    </w:p>
    <w:p>
      <w:pPr>
        <w:pStyle w:val="Heading1"/>
      </w:pPr>
      <w:r>
        <w:t>7. Device Accountability</w:t>
      </w:r>
    </w:p>
    <w:p>
      <w:pPr>
        <w:keepNext w:val="0"/>
        <w:keepLines w:val="0"/>
        <w:spacing w:before="0" w:after="100" w:line="269" w:lineRule="auto"/>
        <w:jc w:val="left"/>
      </w:pPr>
      <w:r>
        <w:rPr>
          <w:rFonts w:ascii="Times New Roman" w:hAnsi="Times New Roman" w:cs="Times New Roman"/>
          <w:b w:val="0"/>
          <w:i w:val="0"/>
          <w:vanish w:val="0"/>
          <w:color w:val="000000"/>
          <w:sz w:val="21"/>
        </w:rPr>
        <w:t>Receipt, storage, access, use, return and disposal of every investigational device shall be documented so that batch, lot or serial-number traceability is maintained throughout and after the investigation.</w:t>
      </w:r>
    </w:p>
    <w:p>
      <w:pPr>
        <w:pStyle w:val="Heading1"/>
      </w:pPr>
      <w:r>
        <w:t>8. Records, Data and Confidentiality</w:t>
      </w:r>
    </w:p>
    <w:p>
      <w:pPr>
        <w:keepNext w:val="0"/>
        <w:keepLines w:val="0"/>
        <w:spacing w:before="0" w:after="100" w:line="269" w:lineRule="auto"/>
        <w:jc w:val="left"/>
      </w:pPr>
      <w:r>
        <w:rPr>
          <w:rFonts w:ascii="Times New Roman" w:hAnsi="Times New Roman" w:cs="Times New Roman"/>
          <w:b w:val="0"/>
          <w:i w:val="0"/>
          <w:vanish w:val="0"/>
          <w:color w:val="000000"/>
          <w:sz w:val="21"/>
        </w:rPr>
        <w:t>The site shall maintain complete and accurate records for the required retention period. Participant identity and clinical data shall remain confidential, subject to authorised review by the Sponsor, Ethics Committee and regulatory authorities.</w:t>
      </w:r>
    </w:p>
    <w:p>
      <w:pPr>
        <w:pStyle w:val="Heading1"/>
      </w:pPr>
      <w:r>
        <w:t>9. Monitoring, Audit and Inspection</w:t>
      </w:r>
    </w:p>
    <w:p>
      <w:pPr>
        <w:keepNext w:val="0"/>
        <w:keepLines w:val="0"/>
        <w:spacing w:before="0" w:after="100" w:line="269" w:lineRule="auto"/>
        <w:jc w:val="left"/>
      </w:pPr>
      <w:r>
        <w:rPr>
          <w:rFonts w:ascii="Times New Roman" w:hAnsi="Times New Roman" w:cs="Times New Roman"/>
          <w:b w:val="0"/>
          <w:i w:val="0"/>
          <w:vanish w:val="0"/>
          <w:color w:val="000000"/>
          <w:sz w:val="21"/>
        </w:rPr>
        <w:t>The Principal Investigator and institution shall provide reasonable access to facilities, source records and investigation records for monitoring, audit or inspection, while preserving participant confidentiality.</w:t>
      </w:r>
    </w:p>
    <w:p>
      <w:pPr>
        <w:pStyle w:val="Heading1"/>
      </w:pPr>
      <w:r>
        <w:t>10. Publication and Use of Results</w:t>
      </w:r>
    </w:p>
    <w:p>
      <w:pPr>
        <w:keepNext w:val="0"/>
        <w:keepLines w:val="0"/>
        <w:spacing w:before="0" w:after="100" w:line="269" w:lineRule="auto"/>
        <w:jc w:val="left"/>
      </w:pPr>
      <w:r>
        <w:rPr>
          <w:rFonts w:ascii="Times New Roman" w:hAnsi="Times New Roman" w:cs="Times New Roman"/>
          <w:b w:val="0"/>
          <w:i w:val="0"/>
          <w:vanish w:val="0"/>
          <w:color w:val="000000"/>
          <w:sz w:val="21"/>
        </w:rPr>
        <w:t>Publication and use of investigation data shall follow the CIP publication policy, applicable ethical obligations and the following agreed terms: {publicationAndDataUseTerms}.</w:t>
      </w:r>
    </w:p>
    <w:p>
      <w:pPr>
        <w:pStyle w:val="Heading1"/>
      </w:pPr>
      <w:r>
        <w:t>11. Term and Termination</w:t>
      </w:r>
    </w:p>
    <w:p>
      <w:pPr>
        <w:keepNext w:val="0"/>
        <w:keepLines w:val="0"/>
        <w:spacing w:before="0" w:after="100" w:line="269" w:lineRule="auto"/>
        <w:jc w:val="left"/>
      </w:pPr>
      <w:r>
        <w:rPr>
          <w:rFonts w:ascii="Times New Roman" w:hAnsi="Times New Roman" w:cs="Times New Roman"/>
          <w:b w:val="0"/>
          <w:i w:val="0"/>
          <w:vanish w:val="0"/>
          <w:color w:val="000000"/>
          <w:sz w:val="21"/>
        </w:rPr>
        <w:t>This Agreement remains effective until completion and close-out of the investigation unless terminated earlier for safety, regulatory, ethical, material-breach or other justified reasons. Termination shall not affect continuing safety, reporting, record-retention, confidentiality or compensation obligations.</w:t>
      </w:r>
    </w:p>
    <w:p>
      <w:pPr>
        <w:pStyle w:val="Heading1"/>
      </w:pPr>
      <w:r>
        <w:t>12. Governing Requirements</w:t>
      </w:r>
    </w:p>
    <w:p>
      <w:pPr>
        <w:keepNext w:val="0"/>
        <w:keepLines w:val="0"/>
        <w:spacing w:before="0" w:after="100" w:line="269" w:lineRule="auto"/>
        <w:jc w:val="left"/>
      </w:pPr>
      <w:r>
        <w:rPr>
          <w:rFonts w:ascii="Times New Roman" w:hAnsi="Times New Roman" w:cs="Times New Roman"/>
          <w:b w:val="0"/>
          <w:i w:val="0"/>
          <w:vanish w:val="0"/>
          <w:color w:val="000000"/>
          <w:sz w:val="21"/>
        </w:rPr>
        <w:t>This Agreement shall be interpreted in accordance with the laws of India and the Medical Devices Rules, 2017. Any additional site-specific terms are stated in Schedule A and shall not conflict with applicable law or the approved CIP.</w:t>
      </w:r>
    </w:p>
    <w:p>
      <w:pPr>
        <w:pStyle w:val="Heading1"/>
      </w:pPr>
      <w:r>
        <w:t>Signatures</w:t>
      </w:r>
    </w:p>
    <w:tbl>
      <w:tblPr>
        <w:tblW w:w="5000" w:type="pct"/>
        <w:jc w:val="left"/>
        <w:tblLayout w:type="fixed"/>
        <w:tblLook w:firstColumn="1" w:firstRow="1" w:lastColumn="0" w:lastRow="0" w:noHBand="0" w:noVBand="1" w:val="04A0"/>
        <w:tblInd w:w="110" w:type="dxa"/>
      </w:tblPr>
      <w:tblGrid>
        <w:gridCol w:w="2968"/>
        <w:gridCol w:w="2968"/>
        <w:gridCol w:w="2970"/>
      </w:tblGrid>
      <w:tr>
        <w:trPr>
          <w:tblHeader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7"/>
              </w:rPr>
              <w:t>For the Sponsor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7"/>
              </w:rPr>
              <w:t>Principal Investigator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7"/>
              </w:rPr>
              <w:t>For the Institution</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7"/>
              </w:rPr>
              <w:t>Signature: __________________</w:t>
              <w:br/>
              <w:t>Name: {authorisedSignatoryName}</w:t>
              <w:br/>
              <w:t>Designation: {authorisedSignatoryDesignation}</w:t>
              <w:br/>
              <w:t>Date: {sponsorSignatureDate}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Signature: __________________</w:t>
              <w:br/>
              <w:t>Name: {principalInvestigatorName}</w:t>
              <w:br/>
              <w:t>Date: {investigatorSignatureDate}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Signature: __________________</w:t>
              <w:br/>
              <w:t>Name/designation: {institutionSignatory}</w:t>
              <w:br/>
              <w:t>Date: {institutionSignatureDate}</w:t>
            </w:r>
          </w:p>
        </w:tc>
      </w:tr>
    </w:tbl>
    <w:p>
      <w:pPr>
        <w:keepNext w:val="0"/>
        <w:keepLines w:val="0"/>
        <w:spacing w:before="0" w:after="20" w:line="252" w:lineRule="auto"/>
      </w:pPr>
    </w:p>
    <w:sectPr w:rsidR="00FC693F" w:rsidRPr="0006063C" w:rsidSect="00034616">
      <w:headerReference w:type="default" r:id="rId9"/>
      <w:footerReference w:type="default" r:id="rId10"/>
      <w:pgSz w:w="11906" w:h="16838"/>
      <w:pgMar w:top="1440" w:right="1440" w:bottom="1247"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MD-22 Clinical Investigation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Sponsor-Principal Investigator Agreement</dc:title>
  <dc:subject>Seventh Schedule Table 3 item 2</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