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52" w:lineRule="auto"/>
        <w:jc w:val="center"/>
      </w:pPr>
      <w:r>
        <w:rPr>
          <w:rFonts w:ascii="Times New Roman" w:hAnsi="Times New Roman" w:cs="Times New Roman"/>
          <w:b/>
          <w:i w:val="0"/>
          <w:vanish w:val="0"/>
          <w:color w:val="000000"/>
          <w:sz w:val="32"/>
        </w:rPr>
        <w:t>INVESTIGATOR'S BROCHURE</w:t>
      </w:r>
    </w:p>
    <w:p>
      <w:pPr>
        <w:keepNext/>
        <w:keepLines w:val="0"/>
        <w:spacing w:before="0" w:after="240" w:line="252" w:lineRule="auto"/>
        <w:jc w:val="center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2"/>
        </w:rPr>
        <w:t>{deviceGenericName} | {deviceModelOrType}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300"/>
        <w:gridCol w:w="66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Document reference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{ibReferenceNumber}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Version / date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{ibVersionDate}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Sponsor / manufacturer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{applicantName} | {manufacturerDetails}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Confidentiality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{ibConfidentialityStatement}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Revision History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1200"/>
        <w:gridCol w:w="1700"/>
        <w:gridCol w:w="6006"/>
      </w:tblGrid>
      <w:tr>
        <w:trPr>
          <w:tblHeader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Version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Date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Summary of change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{#ibRevisionHistory}</w:t>
            </w:r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{version}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{date}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{changeSummary}</w:t>
            </w:r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{/ibRevisionHistory}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1. General and Purpose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{ibIntroduction}</w:t>
      </w:r>
    </w:p>
    <w:p>
      <w:pPr>
        <w:pStyle w:val="Heading1"/>
      </w:pPr>
      <w:r>
        <w:t>2. Sponsor or Manufacturer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{ibSponsorManufacturer}</w:t>
      </w:r>
    </w:p>
    <w:p>
      <w:pPr>
        <w:pStyle w:val="Heading1"/>
      </w:pPr>
      <w:r>
        <w:t>3. Literature and Design Rationale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{ibLiteratureDesignRationale}</w:t>
      </w:r>
    </w:p>
    <w:p>
      <w:pPr>
        <w:pStyle w:val="Heading1"/>
      </w:pPr>
      <w:r>
        <w:t>4. Regulatory Classification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{ibRegulatoryClassification}</w:t>
      </w:r>
    </w:p>
    <w:p>
      <w:pPr>
        <w:pStyle w:val="Heading1"/>
      </w:pPr>
      <w:r>
        <w:t>5. Device Description, Components and Materials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{ibDeviceDescriptionMaterials}</w:t>
      </w:r>
    </w:p>
    <w:p>
      <w:pPr>
        <w:pStyle w:val="Heading1"/>
      </w:pPr>
      <w:r>
        <w:t>6. Manufacturing and Process Validation Summary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{ibManufacturingValidationSummary}</w:t>
      </w:r>
    </w:p>
    <w:p>
      <w:pPr>
        <w:pStyle w:val="Heading1"/>
      </w:pPr>
      <w:r>
        <w:t>7. Mechanism of Action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{ibMechanismOfAction}</w:t>
      </w:r>
    </w:p>
    <w:p>
      <w:pPr>
        <w:pStyle w:val="Heading1"/>
      </w:pPr>
      <w:r>
        <w:t>8. Installation, Use, Storage, Handling, Re-use and Disposal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{ibInstructionsForUseSummary}</w:t>
      </w:r>
    </w:p>
    <w:p>
      <w:pPr>
        <w:pStyle w:val="Heading1"/>
      </w:pPr>
      <w:r>
        <w:t>9. Intended Clinical Performance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{ibIntendedClinicalPerformance}</w:t>
      </w:r>
    </w:p>
    <w:p>
      <w:pPr>
        <w:pStyle w:val="Heading1"/>
      </w:pPr>
      <w:r>
        <w:t>10. Preclinical Testing and Justification for Human Use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{ibPreclinicalTestingSummary}</w:t>
      </w:r>
    </w:p>
    <w:p>
      <w:pPr>
        <w:pStyle w:val="Heading1"/>
      </w:pPr>
      <w:r>
        <w:t>11. Existing Clinical Data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{ibExistingClinicalData}</w:t>
      </w:r>
    </w:p>
    <w:p>
      <w:pPr>
        <w:pStyle w:val="Heading1"/>
      </w:pPr>
      <w:r>
        <w:t>12. Adverse Device Effects, Modifications and Recall History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{ibAdverseEffectsRecallHistory}</w:t>
      </w:r>
    </w:p>
    <w:p>
      <w:pPr>
        <w:pStyle w:val="Heading1"/>
      </w:pPr>
      <w:r>
        <w:t>13. Risk Analysis and Residual Risks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{ibRiskAnalysisSummary}</w:t>
      </w:r>
    </w:p>
    <w:p>
      <w:pPr>
        <w:pStyle w:val="Heading1"/>
      </w:pPr>
      <w:r>
        <w:t>14. Risk Assessment, Contra-indications and Warnings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{ibRiskAssessmentWarnings}</w:t>
      </w:r>
    </w:p>
    <w:p>
      <w:pPr>
        <w:pStyle w:val="Heading1"/>
      </w:pPr>
      <w:r>
        <w:t>15. Standards and Regulatory Conformity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{ibStandardsAndConformity}</w:t>
      </w:r>
    </w:p>
    <w:p>
      <w:pPr>
        <w:pStyle w:val="Heading1"/>
      </w:pPr>
      <w:r>
        <w:t>16. References</w:t>
      </w:r>
    </w:p>
    <w:p>
      <w:pPr>
        <w:keepNext w:val="0"/>
        <w:keepLines/>
        <w:spacing w:before="40" w:after="100" w:line="264" w:lineRule="auto"/>
        <w:jc w:val="left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{ibReferences}</w:t>
      </w:r>
    </w:p>
    <w:p>
      <w:pPr>
        <w:pStyle w:val="Heading1"/>
      </w:pPr>
      <w:r>
        <w:t>Approval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1600"/>
        <w:gridCol w:w="3200"/>
        <w:gridCol w:w="2000"/>
        <w:gridCol w:w="2106"/>
      </w:tblGrid>
      <w:tr>
        <w:trPr>
          <w:tblHeader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Role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Name / designation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Signature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Date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Prepared by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{ibPreparedBy}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{ibPreparedDate}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Approved by Sponsor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{ibApprovedBy}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{ibApprovedDate}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247" w:left="144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cs="Times New Roman"/>
        <w:b w:val="0"/>
        <w:i w:val="0"/>
        <w:vanish w:val="0"/>
        <w:color w:val="666666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cs="Times New Roman"/>
        <w:b w:val="0"/>
        <w:i w:val="0"/>
        <w:vanish w:val="0"/>
        <w:color w:val="666666"/>
        <w:sz w:val="16"/>
      </w:rPr>
      <w:t>MD-22 Clinical Investigation Dossier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9" w:lineRule="auto"/>
    </w:pPr>
    <w:rPr>
      <w:rFonts w:ascii="Times New Roman" w:hAnsi="Times New Roman" w:cs="Times New Roman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Investigator's Brochure</dc:title>
  <dc:subject>Seventh Schedule Table 4</dc:subject>
  <dc:creator>Medical Doc Generator</dc:creator>
  <cp:keywords>Form MD-22, clinical investigation, Medical Devices Rules 2017, CDSCO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