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8"/>
        </w:rPr>
        <w:t>Form MD-39</w:t>
      </w:r>
    </w:p>
    <w:p>
      <w:pPr>
        <w:pStyle w:val="Subtitle"/>
        <w:spacing w:after="140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[See sub-rule (1) of rule 81]</w:t>
      </w:r>
    </w:p>
    <w:p>
      <w:pPr>
        <w:keepNext/>
        <w:keepLines w:val="0"/>
        <w:spacing w:before="0" w:after="140" w:line="245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0"/>
        </w:rPr>
        <w:t>APPLICATION FOR GRANT OF REGISTRATION TO MEDICAL DEVICE TESTING LABORATORY FOR CARRY OUT TEST OR EVALUATION OF A MEDICAL DEVICE ON BEHALF OF MANUFACTURER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1. Name of Applicant: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{applicantName}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2. Nature and constitution of applicant: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{applicantConstitution}</w:t>
      </w:r>
      <w:r>
        <w:rPr>
          <w:rFonts w:ascii="Times New Roman" w:hAnsi="Times New Roman" w:cs="Times New Roman"/>
          <w:b w:val="0"/>
          <w:i/>
          <w:vanish w:val="0"/>
          <w:color w:val="666666"/>
          <w:sz w:val="16"/>
        </w:rPr>
        <w:br/>
        <w:t>(i.e. proprietorship, partnership including LLP, private or public company, society, trust, or other to be specified)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3(i). Corporate / registered office address including contact details: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{registeredOfficeAddress}</w:t>
        <w:br/>
        <w:t>Telephone / mobile: {registeredOfficeContactNumber} | Fax (if any): {registeredOfficeFaxNumber} | E-mail: {registeredOfficeEmailAddress}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3(ii). Testing laboratory address including contact details: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{testingLaboratoryAddress}</w:t>
        <w:br/>
        <w:t>Telephone / mobile: {laboratoryContactNumber} | Fax (if any): {laboratoryFaxNumber} | E-mail: {laboratoryEmailAddress}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3(iii). Address for correspondence [corporate office / testing laboratory]: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{correspondenceAddress}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4. Details of medical device(s) to be tested or evaluated: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Annexed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5. Fee paid: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On {feePaidDate}; Rs {feeAmount}; receipt/challan/transaction ID {feeReferenceNumber}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6. Documents enclosed: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I have enclosed the documents as specified in the sub-rule (2) of rule 82 of Medical Devices Rules, 2017.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7(i). Inspection readiness undertaking: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The testing laboratory {inspectionReadinessStatement} in accordance with the requirements of Medical Devices Rules, 2017.</w:t>
      </w:r>
    </w:p>
    <w:p>
      <w:pPr>
        <w:keepNext w:val="0"/>
        <w:keepLines/>
        <w:spacing w:before="0" w:after="70" w:line="254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 xml:space="preserve">7(ii). Statutory compliance undertaking: </w:t>
      </w: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I shall comply with the applicable provisions of the Drugs and Cosmetics Act, 1940 (23 of 1940), and the Medical Devices Rules, 2017.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digitally]</w:t>
            </w:r>
          </w:p>
        </w:tc>
      </w:tr>
    </w:tbl>
    <w:p>
      <w:pPr>
        <w:keepNext/>
        <w:keepLines w:val="0"/>
        <w:spacing w:before="80" w:after="60" w:line="252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19"/>
        </w:rPr>
        <w:t>Annexure</w:t>
      </w:r>
    </w:p>
    <w:tbl>
      <w:tblPr>
        <w:tblW w:type="dxa" w:w="9290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900"/>
        <w:gridCol w:w="4695"/>
        <w:gridCol w:w="3695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S.N.</w:t>
            </w:r>
          </w:p>
        </w:tc>
        <w:tc>
          <w:tcPr>
            <w:tcW w:type="dxa" w:w="46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Generic name</w:t>
            </w:r>
          </w:p>
        </w:tc>
        <w:tc>
          <w:tcPr>
            <w:tcW w:type="dxa" w:w="36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Class of medical device</w:t>
            </w:r>
          </w:p>
        </w:tc>
      </w:tr>
      <w:tr>
        <w:trPr>
          <w:cantSplit w:val="true"/>
        </w:trPr>
        <w:tc>
          <w:tcPr>
            <w:tcW w:type="dxa" w:w="9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{#md39Devices}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{serialNumber}</w:t>
            </w:r>
          </w:p>
        </w:tc>
        <w:tc>
          <w:tcPr>
            <w:tcW w:type="dxa" w:w="46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{genericName}</w:t>
            </w:r>
          </w:p>
        </w:tc>
        <w:tc>
          <w:tcPr>
            <w:tcW w:type="dxa" w:w="3695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{medicalDeviceClass}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{/md39Devices}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Form MD-39</dc:title>
  <dc:subject>Application under rule 81(1)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