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ORGANISATION CHART AND KEY PERSONNEL ARRANGEMENT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Medical Device Testing Laboratory - Form MD-39 fresh application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Head of organisation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{headOfOrganisationName} - {headOfOrganisationDesignation}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Person in-charge of testing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{personInChargeName} - {personInChargeDesignation}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Quality manager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{qualityManagerName} - {qualityManagerDesignation}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following reporting arrangement identifies the key personnel responsible for governance, technical direction, quality management, testing, equipment control, sample handling and reporting. Add every material role used by the laboratory.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750"/>
        <w:gridCol w:w="1850"/>
        <w:gridCol w:w="1700"/>
        <w:gridCol w:w="1500"/>
        <w:gridCol w:w="3106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Sl. No.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 / function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Reports to</w:t>
            </w:r>
          </w:p>
        </w:tc>
        <w:tc>
          <w:tcPr>
            <w:tcW w:type="dxa" w:w="3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Key responsibilities</w:t>
            </w:r>
          </w:p>
        </w:tc>
      </w:tr>
      <w:tr>
        <w:trPr>
          <w:cantSplit w:val="true"/>
        </w:trPr>
        <w:tc>
          <w:tcPr>
            <w:tcW w:type="dxa" w:w="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{#organisationRoles}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{serialNumber}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{roleOrFunction}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{personName}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{reportsTo}</w:t>
            </w:r>
          </w:p>
        </w:tc>
        <w:tc>
          <w:tcPr>
            <w:tcW w:type="dxa" w:w="3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{keyResponsibilities}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{/organisationRoles}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Independence of technical and quality functions: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{technicalQualityIndependenceSummary}</w:t>
      </w:r>
    </w:p>
    <w:p>
      <w:pPr>
        <w:keepNext w:val="0"/>
        <w:keepLines/>
        <w:spacing w:before="0" w:after="20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 certify that the above structure accurately represents the current arrangement of key personnel at the testing laboratory.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Organisation Chart</dc:title>
  <dc:subject>Fresh checklist item 4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