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spacing w:before="0" w:after="60" w:line="252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32"/>
        </w:rPr>
        <w:t>CLINICAL INVESTIGATION PLAN</w:t>
      </w:r>
    </w:p>
    <w:p>
      <w:pPr>
        <w:keepNext/>
        <w:keepLines w:val="0"/>
        <w:spacing w:before="0" w:after="240" w:line="252" w:lineRule="auto"/>
        <w:jc w:val="center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>{studyTitle}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6606"/>
      </w:tblGrid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CIP reference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{cipNumber}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Version / date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{cipVersion} | {cipDate}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Study type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{clinicalInvestigationType}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Sponsor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{applicantName} | {sponsorAddress}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Device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{deviceGenericName} | {deviceModelOrType}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Confidentiality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{cipConfidentialityStatement}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1.1 General</w:t>
      </w:r>
    </w:p>
    <w:p>
      <w:pPr>
        <w:pStyle w:val="Heading2"/>
      </w:pPr>
      <w:r>
        <w:t>1.1.1 Introduction</w:t>
      </w:r>
    </w:p>
    <w:p>
      <w:pPr>
        <w:keepNext w:val="0"/>
        <w:keepLines w:val="0"/>
        <w:spacing w:before="0" w:after="10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This Clinical Investigation Plan defines the rationale, objectives, design, analysis, conduct, methodology, management, safety reporting and record-keeping for the investigation. Controlled supporting documents are cross-referenced where the required information is maintained elsewhere.</w:t>
      </w:r>
    </w:p>
    <w:p>
      <w:pPr>
        <w:pStyle w:val="Heading2"/>
      </w:pPr>
      <w:r>
        <w:t>1.1.2 Identification of the Clinical Investigation Plan</w:t>
      </w:r>
    </w:p>
    <w:p>
      <w:pPr>
        <w:keepNext w:val="0"/>
        <w:keepLines w:val="0"/>
        <w:spacing w:before="0" w:after="8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The title, reference number, version and date are stated above. Amendment history is recorded below.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200"/>
        <w:gridCol w:w="1700"/>
        <w:gridCol w:w="6006"/>
      </w:tblGrid>
      <w:tr>
        <w:trPr>
          <w:tblHeader w:val="true"/>
        </w:trPr>
        <w:tc>
          <w:tcPr>
            <w:tcW w:type="dxa" w:w="1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Version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Date</w:t>
            </w:r>
          </w:p>
        </w:tc>
        <w:tc>
          <w:tcPr>
            <w:tcW w:type="dxa" w:w="60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Amendment / reason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{#cipRevisionHistory}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{version}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{date}</w:t>
            </w:r>
          </w:p>
        </w:tc>
        <w:tc>
          <w:tcPr>
            <w:tcW w:type="dxa" w:w="60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{amendmentReason}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{/cipRevisionHistory}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1.1.3 Sponsor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{cipSponsorDetails}</w:t>
      </w:r>
    </w:p>
    <w:p>
      <w:pPr>
        <w:pStyle w:val="Heading1"/>
      </w:pPr>
      <w:r>
        <w:t>1.1.4 Principal Investigator(s), Coordinating Investigator and Site(s)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{cipInvestigatorsAndSites}</w:t>
      </w:r>
    </w:p>
    <w:p>
      <w:pPr>
        <w:pStyle w:val="Heading1"/>
      </w:pPr>
      <w:r>
        <w:t>1.1.5 Overall Synopsis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6606"/>
      </w:tblGrid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Primary objective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{primaryObjective}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Secondary objective(s)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{secondaryObjectives}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Study design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{studyDesignSummary}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Population / indication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{studyPopulationIndication}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Planned sample size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{plannedSampleSize}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Duration / follow-up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{studyDurationFollowUp}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Primary endpoint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{primaryEndpoint}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Secondary endpoint(s)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{secondaryEndpoints}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1.2 Identification and Description of the Investigational Medical Device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{cipDeviceIdentificationDescription}</w:t>
      </w:r>
    </w:p>
    <w:p>
      <w:pPr>
        <w:pStyle w:val="Heading1"/>
      </w:pPr>
      <w:r>
        <w:t>1.3 Justification for the Clinical Investigation Design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{cipDesignJustification}</w:t>
      </w:r>
    </w:p>
    <w:p>
      <w:pPr>
        <w:pStyle w:val="Heading1"/>
      </w:pPr>
      <w:r>
        <w:t>1.4 Risks and Benefits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{cipRiskBenefitAssessment}</w:t>
      </w:r>
    </w:p>
    <w:p>
      <w:pPr>
        <w:pStyle w:val="Heading1"/>
      </w:pPr>
      <w:r>
        <w:t>1.5 Objectives, Hypotheses, Claims and Performance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{cipObjectivesHypothesesClaims}</w:t>
      </w:r>
    </w:p>
    <w:p>
      <w:pPr>
        <w:pStyle w:val="Heading1"/>
      </w:pPr>
      <w:r>
        <w:t>1.6.1 Investigation Design, Bias Control and Endpoints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{cipInvestigationDesign}</w:t>
      </w:r>
    </w:p>
    <w:p>
      <w:pPr>
        <w:pStyle w:val="Heading1"/>
      </w:pPr>
      <w:r>
        <w:t>1.6.2 Investigational Device, Comparator and Concomitant Treatment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{cipDeviceComparatorTreatment}</w:t>
      </w:r>
    </w:p>
    <w:p>
      <w:pPr>
        <w:pStyle w:val="Heading1"/>
      </w:pPr>
      <w:r>
        <w:t>1.6.3 Subjects: Eligibility, Enrolment, Duration and Sample Size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{cipSubjectPlan}</w:t>
      </w:r>
    </w:p>
    <w:p>
      <w:pPr>
        <w:pStyle w:val="Heading1"/>
      </w:pPr>
      <w:r>
        <w:t>1.6.4 Procedures, Follow-up and Post-investigation Medical Care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{cipProceduresFollowUpCare}</w:t>
      </w:r>
    </w:p>
    <w:p>
      <w:pPr>
        <w:pStyle w:val="Heading1"/>
      </w:pPr>
      <w:r>
        <w:t>1.6.5 Monitoring Plan and Source-data Verification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{cipMonitoringPlan}</w:t>
      </w:r>
    </w:p>
    <w:p>
      <w:pPr>
        <w:pStyle w:val="Heading1"/>
      </w:pPr>
      <w:r>
        <w:t>1.7 Statistical Considerations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{cipStatisticalConsiderations}</w:t>
      </w:r>
    </w:p>
    <w:p>
      <w:pPr>
        <w:pStyle w:val="Heading1"/>
      </w:pPr>
      <w:r>
        <w:t>1.8 Data Management, Security, Quality Assurance and Retention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{cipDataManagement}</w:t>
      </w:r>
    </w:p>
    <w:p>
      <w:pPr>
        <w:pStyle w:val="Heading1"/>
      </w:pPr>
      <w:r>
        <w:t>1.9 Amendments to the CIP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{cipAmendmentProcedure}</w:t>
      </w:r>
    </w:p>
    <w:p>
      <w:pPr>
        <w:pStyle w:val="Heading1"/>
      </w:pPr>
      <w:r>
        <w:t>1.10 Deviations from the CIP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{cipDeviationProcedure}</w:t>
      </w:r>
    </w:p>
    <w:p>
      <w:pPr>
        <w:pStyle w:val="Heading1"/>
      </w:pPr>
      <w:r>
        <w:t>1.11 Device Accountability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{cipDeviceAccountability}</w:t>
      </w:r>
    </w:p>
    <w:p>
      <w:pPr>
        <w:pStyle w:val="Heading1"/>
      </w:pPr>
      <w:r>
        <w:t>1.12 Statements of Compliance and Insurance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{cipComplianceInsurance}</w:t>
      </w:r>
    </w:p>
    <w:p>
      <w:pPr>
        <w:pStyle w:val="Heading1"/>
      </w:pPr>
      <w:r>
        <w:t>1.13 Informed Consent Process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{cipInformedConsentProcess}</w:t>
      </w:r>
    </w:p>
    <w:p>
      <w:pPr>
        <w:pStyle w:val="Heading1"/>
      </w:pPr>
      <w:r>
        <w:t>1.14 Adverse Events, Adverse Device Effects and Device Deficiencies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{cipSafetyReporting}</w:t>
      </w:r>
    </w:p>
    <w:p>
      <w:pPr>
        <w:pStyle w:val="Heading1"/>
      </w:pPr>
      <w:r>
        <w:t>1.15 Vulnerable Population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{cipVulnerablePopulation}</w:t>
      </w:r>
    </w:p>
    <w:p>
      <w:pPr>
        <w:pStyle w:val="Heading1"/>
      </w:pPr>
      <w:r>
        <w:t>1.16 Suspension or Premature Termination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{cipSuspensionTermination}</w:t>
      </w:r>
    </w:p>
    <w:p>
      <w:pPr>
        <w:pStyle w:val="Heading1"/>
      </w:pPr>
      <w:r>
        <w:t>1.17 Publication Policy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{cipPublicationPolicy}</w:t>
      </w:r>
    </w:p>
    <w:p>
      <w:pPr>
        <w:pStyle w:val="Heading1"/>
      </w:pPr>
      <w:r>
        <w:t>Appendix A - Schedule of Assessments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{scheduleOfAssessments}</w:t>
      </w:r>
    </w:p>
    <w:p>
      <w:pPr>
        <w:pStyle w:val="Heading1"/>
      </w:pPr>
      <w:r>
        <w:t>Appendix B - Foreseeable Adverse Events and Mitigation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{foreseeableAdverseEvents}</w:t>
      </w:r>
    </w:p>
    <w:p>
      <w:pPr>
        <w:pStyle w:val="Heading1"/>
      </w:pPr>
      <w:r>
        <w:t>Approval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700"/>
        <w:gridCol w:w="3100"/>
        <w:gridCol w:w="2000"/>
        <w:gridCol w:w="2106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Role</w:t>
            </w:r>
          </w:p>
        </w:tc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Name / designation</w:t>
            </w:r>
          </w:p>
        </w:tc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Signature</w:t>
            </w:r>
          </w:p>
        </w:tc>
        <w:tc>
          <w:tcPr>
            <w:tcW w:type="dxa" w:w="21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Date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Sponsor</w:t>
            </w:r>
          </w:p>
        </w:tc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{authorisedSignatoryName} | {authorisedSignatoryDesignation}</w:t>
            </w:r>
          </w:p>
        </w:tc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</w:r>
          </w:p>
        </w:tc>
        <w:tc>
          <w:tcPr>
            <w:tcW w:type="dxa" w:w="21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{sponsorApprovalDate}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Principal Investigator</w:t>
            </w:r>
          </w:p>
        </w:tc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{principalInvestigatorName}</w:t>
            </w:r>
          </w:p>
        </w:tc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</w:r>
          </w:p>
        </w:tc>
        <w:tc>
          <w:tcPr>
            <w:tcW w:type="dxa" w:w="21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{investigatorApprovalDate}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Biostatistician, if applicable</w:t>
            </w:r>
          </w:p>
        </w:tc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{biostatisticianName}</w:t>
            </w:r>
          </w:p>
        </w:tc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</w:r>
          </w:p>
        </w:tc>
        <w:tc>
          <w:tcPr>
            <w:tcW w:type="dxa" w:w="21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{statisticianApprovalDate}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>MD-22 Clinical Investigation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0" w:lineRule="auto"/>
    </w:pPr>
    <w:rPr>
      <w:rFonts w:ascii="Times New Roman" w:hAnsi="Times New Roman" w:cs="Times New Roman"/>
      <w:b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Clinical Investigation Plan</dc:title>
  <dc:subject>Seventh Schedule Table 5</dc:subject>
  <dc:creator>Medical Doc Generator</dc:creator>
  <cp:keywords>Form MD-22, clinical investigation, Medical Devices Rules 2017, CDSCO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