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QUALITY MANAGEMENT SYSTEM REQUIREMENTS SUMMARY</w:t>
      </w:r>
    </w:p>
    <w:p>
      <w:pPr>
        <w:spacing w:before="120" w:after="60"/>
      </w:pPr>
      <w:r>
        <w:rPr>
          <w:b/>
          <w:sz w:val="22"/>
        </w:rPr>
        <w:t>QMS Document and Procedure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/>
        </w:trPr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Document / Procedure Reference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{qmsRequirement}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{qmsDocumentReference}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{qmsRevision}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{qmsStatus}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Environmental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/>
        </w:trPr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Area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Control / Monitoring</w:t>
            </w:r>
          </w:p>
        </w:tc>
        <w:tc>
          <w:tcPr>
            <w:tcW w:type="dxa" w:w="2628"/>
            <w:shd w:fill="E9EEF4"/>
          </w:tcPr>
          <w:p>
            <w:r>
              <w:rPr>
                <w:b/>
                <w:sz w:val="15"/>
              </w:rPr>
              <w:t>Evidence Reference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  <w:tr>
        <w:trPr>
          <w:cantSplit/>
        </w:trPr>
        <w:tc>
          <w:tcPr>
            <w:tcW w:type="dxa" w:w="2628"/>
          </w:tcPr>
          <w:p>
            <w:r>
              <w:rPr>
                <w:sz w:val="15"/>
              </w:rPr>
              <w:t>{area}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{environmentalRequirement}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{environmentalControl}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{evidenceReference}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