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LABELLING AND PACK SIZE SPECIFICATION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| label content and artwork control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Medical Devices Rules, 2017, Chapter VI; Fourth Schedule, Part IV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Packaging levels and artwork references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00"/>
        <w:gridCol w:w="2000"/>
        <w:gridCol w:w="2050"/>
        <w:gridCol w:w="1200"/>
        <w:gridCol w:w="2056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Packaging level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Pack size / configuration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Artwork number &amp; revision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Language(s)</w:t>
            </w:r>
          </w:p>
        </w:tc>
        <w:tc>
          <w:tcPr>
            <w:tcW w:type="dxa" w:w="2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Artwork file reference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{#packagingLevels}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{packagingLevel}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{packSizeConfiguration}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{artworkNumberRevision}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{languages}</w:t>
            </w:r>
          </w:p>
        </w:tc>
        <w:tc>
          <w:tcPr>
            <w:tcW w:type="dxa" w:w="2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{artworkReference}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{/packagingLevels}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2. Required label particulars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100"/>
        <w:gridCol w:w="4300"/>
        <w:gridCol w:w="1506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Particular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Proposed label text / variable field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Rule reference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Name of device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{labelDeviceName}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44(a)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Identification and intended use details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{labelIdentificationUse}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44(b)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Manufacturer and manufacturing premises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{labelManufacturerAddress}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44(c)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Net quantity / number of units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{labelNetQuantity}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44(d)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Manufacture and expiry / shelf life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{labelManufactureExpiry}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44(e)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Medicinal / biological substance statement,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{labelSubstanceStatement}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44(f)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Lot / batch number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{labelLotBatch}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44(g)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Storage / handling conditions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{labelStorageHandling}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44(h)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Sterile status / sterilisation method,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{labelSterileStatus}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44(i)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Warnings / precautions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{labelWarnings}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44(j)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Single-use statement,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{labelSingleUse}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44(k)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Manufacturing licence number (domestic),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{labelManufacturingLicence}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44(m)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Import licence, importer and site details, if applicable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{labelImportStickerDetails}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44(n)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Symbols and explanations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{labelSymbols}</w:t>
            </w:r>
          </w:p>
        </w:tc>
        <w:tc>
          <w:tcPr>
            <w:tcW w:type="dxa" w:w="1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Rule 44 proviso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3. Variable-data controls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{labelVariableDataControls}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how lot/batch, dates, licence details and other variable data are generated, verified and reconciled.</w:t>
      </w:r>
    </w:p>
    <w:p>
      <w:pPr>
        <w:pStyle w:val="Heading1"/>
      </w:pPr>
      <w:r>
        <w:t>4. Artwork placement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{labelArtworkPlacement}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Insert or cross-reference clear artwork for immediate container, shelf pack and outer pack. For small labels, identify which information moves to the next packaging level.</w:t>
      </w:r>
    </w:p>
    <w:p>
      <w:pPr>
        <w:pStyle w:val="Heading1"/>
      </w:pPr>
      <w:r>
        <w:t>5. Labelling compliance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{labellingConclusion}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Confirm consistency with the IFU/product insert and device dossier; identify any conditional field awaiting licence grant.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Labelling And Pack Size Specification</dc:title>
  <dc:subject>Proposed labelling content and pack configuration</dc:subject>
  <dc:creator>Medical Doc Generator</dc:creator>
  <cp:keywords>MD-28, label, pack size, Rule 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