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ESSENTIAL PRINCIPLES CHECKLIST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MD-26 | medical device without predicate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Essential Principles of Safety and Performance; Form checklist requirement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keepNext w:val="0"/>
        <w:keepLines w:val="0"/>
        <w:spacing w:before="0" w:after="10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Use the current official Essential Principles wording applicable to the device. Do not invent principle text. Each applicable row must point to the actual controlled evidence location.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 / model(s)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 / {deviceModels}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Risk class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{deviceClass}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Checklist version/date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{epChecklistVersion} / {epChecklistDate}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00"/>
        <w:gridCol w:w="2450"/>
        <w:gridCol w:w="800"/>
        <w:gridCol w:w="1650"/>
        <w:gridCol w:w="2200"/>
        <w:gridCol w:w="1106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EP No.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Essential Principle</w:t>
            </w:r>
          </w:p>
        </w:tc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Applicable?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Method / standard used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Evidence document and exact location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Conformity / N.A. rationale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{#essentialPrinciples}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{epNumber}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{essentialPrinciple}</w:t>
            </w:r>
          </w:p>
        </w:tc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{applicable}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{conformityMethod}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{evidenceLocation}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{conclusionOrRationale}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{/essentialPrinciples}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Overall conformity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{epOverallConclusion}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whether conformity has been demonstrated for every applicable Essential Principle and identify any open item.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Essential Principles Checklist</dc:title>
  <dc:subject>Essential Principles conformity matrix</dc:subject>
  <dc:creator>Medical Doc Generator</dc:creator>
  <cp:keywords>MD-26, essential principles, safety, performance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