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keepLines w:val="0"/>
        <w:spacing w:before="0" w:after="60" w:line="252" w:lineRule="auto"/>
        <w:jc w:val="center"/>
      </w:pPr>
      <w:r>
        <w:rPr>
          <w:rFonts w:ascii="Times New Roman" w:hAnsi="Times New Roman" w:cs="Times New Roman"/>
          <w:b/>
          <w:i w:val="0"/>
          <w:vanish w:val="0"/>
          <w:color w:val="000000"/>
          <w:sz w:val="32"/>
        </w:rPr>
        <w:t>PROPOSED LABELLING SPECIFICATION</w:t>
      </w:r>
    </w:p>
    <w:p>
      <w:pPr>
        <w:keepNext/>
        <w:keepLines w:val="0"/>
        <w:spacing w:before="0" w:after="240" w:line="252" w:lineRule="auto"/>
        <w:jc w:val="center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2"/>
        </w:rPr>
        <w:t>Form MD-26 | label content and artwork control</w:t>
      </w:r>
    </w:p>
    <w:tbl>
      <w:tblPr>
        <w:tblW w:type="dxa" w:w="8906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2300"/>
        <w:gridCol w:w="6606"/>
      </w:tblGrid>
      <w:tr>
        <w:trPr>
          <w:cantSplit w:val="true"/>
        </w:trPr>
        <w:tc>
          <w:tcPr>
            <w:tcW w:type="dxa" w:w="23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Applicant</w:t>
            </w:r>
          </w:p>
        </w:tc>
        <w:tc>
          <w:tcPr>
            <w:tcW w:type="dxa" w:w="66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{applicantName}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Device</w:t>
            </w:r>
          </w:p>
        </w:tc>
        <w:tc>
          <w:tcPr>
            <w:tcW w:type="dxa" w:w="66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{deviceGenericName}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Document No. / Revision</w:t>
            </w:r>
          </w:p>
        </w:tc>
        <w:tc>
          <w:tcPr>
            <w:tcW w:type="dxa" w:w="66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{documentNumber} / {documentRevision}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Effective / Report Date</w:t>
            </w:r>
          </w:p>
        </w:tc>
        <w:tc>
          <w:tcPr>
            <w:tcW w:type="dxa" w:w="66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{documentDate}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Regulatory basis</w:t>
            </w:r>
          </w:p>
        </w:tc>
        <w:tc>
          <w:tcPr>
            <w:tcW w:type="dxa" w:w="66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Medical Devices Rules, 2017, Chapter VI; Fourth Schedule, Part IV</w:t>
            </w:r>
          </w:p>
        </w:tc>
      </w:tr>
    </w:tbl>
    <w:p>
      <w:pPr>
        <w:keepNext w:val="0"/>
        <w:keepLines w:val="0"/>
        <w:spacing w:before="0" w:after="20" w:line="252" w:lineRule="auto"/>
      </w:pPr>
    </w:p>
    <w:p>
      <w:pPr>
        <w:keepNext w:val="0"/>
        <w:keepLines w:val="0"/>
        <w:spacing w:before="0" w:after="160" w:line="252" w:lineRule="auto"/>
      </w:pPr>
      <w:r>
        <w:rPr>
          <w:rFonts w:ascii="Times New Roman" w:hAnsi="Times New Roman" w:cs="Times New Roman"/>
          <w:b w:val="0"/>
          <w:i/>
          <w:vanish w:val="0"/>
          <w:color w:val="666666"/>
          <w:sz w:val="17"/>
        </w:rPr>
        <w:t>Replace every placeholder with verified information. Where a heading is not applicable, state ‘Not applicable’ and give a concise technical reason; do not delete required headings.</w:t>
      </w:r>
    </w:p>
    <w:p>
      <w:pPr>
        <w:pStyle w:val="Heading1"/>
      </w:pPr>
      <w:r>
        <w:t>1. Packaging levels and artwork references</w:t>
      </w:r>
    </w:p>
    <w:tbl>
      <w:tblPr>
        <w:tblW w:type="dxa" w:w="8906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1600"/>
        <w:gridCol w:w="2000"/>
        <w:gridCol w:w="2050"/>
        <w:gridCol w:w="1200"/>
        <w:gridCol w:w="2056"/>
      </w:tblGrid>
      <w:tr>
        <w:trPr>
          <w:tblHeader w:val="true"/>
        </w:trPr>
        <w:tc>
          <w:tcPr>
            <w:tcW w:type="dxa" w:w="16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6"/>
              </w:rPr>
              <w:t>Packaging level</w:t>
            </w:r>
          </w:p>
        </w:tc>
        <w:tc>
          <w:tcPr>
            <w:tcW w:type="dxa" w:w="20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6"/>
              </w:rPr>
              <w:t>Pack size / configuration</w:t>
            </w:r>
          </w:p>
        </w:tc>
        <w:tc>
          <w:tcPr>
            <w:tcW w:type="dxa" w:w="20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6"/>
              </w:rPr>
              <w:t>Artwork number &amp; revision</w:t>
            </w:r>
          </w:p>
        </w:tc>
        <w:tc>
          <w:tcPr>
            <w:tcW w:type="dxa" w:w="12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6"/>
              </w:rPr>
              <w:t>Language(s)</w:t>
            </w:r>
          </w:p>
        </w:tc>
        <w:tc>
          <w:tcPr>
            <w:tcW w:type="dxa" w:w="205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6"/>
              </w:rPr>
              <w:t>Artwork file reference</w:t>
            </w:r>
          </w:p>
        </w:tc>
      </w:tr>
      <w:tr>
        <w:trPr>
          <w:cantSplit w:val="true"/>
        </w:trPr>
        <w:tc>
          <w:tcPr>
            <w:tcW w:type="dxa" w:w="16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/>
                <w:color w:val="FFFFFF"/>
                <w:sz w:val="2"/>
              </w:rPr>
              <w:t>{#packagingLevels}</w:t>
            </w:r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{packagingLevel}</w:t>
            </w:r>
          </w:p>
        </w:tc>
        <w:tc>
          <w:tcPr>
            <w:tcW w:type="dxa" w:w="20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{packSizeConfiguration}</w:t>
            </w:r>
          </w:p>
        </w:tc>
        <w:tc>
          <w:tcPr>
            <w:tcW w:type="dxa" w:w="20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{artworkNumberRevision}</w:t>
            </w:r>
          </w:p>
        </w:tc>
        <w:tc>
          <w:tcPr>
            <w:tcW w:type="dxa" w:w="12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{languages}</w:t>
            </w:r>
          </w:p>
        </w:tc>
        <w:tc>
          <w:tcPr>
            <w:tcW w:type="dxa" w:w="205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{artworkReference}</w:t>
            </w:r>
            <w:r>
              <w:rPr>
                <w:rFonts w:ascii="Times New Roman" w:hAnsi="Times New Roman" w:cs="Times New Roman"/>
                <w:b w:val="0"/>
                <w:i w:val="0"/>
                <w:vanish/>
                <w:color w:val="FFFFFF"/>
                <w:sz w:val="2"/>
              </w:rPr>
              <w:t>{/packagingLevels}</w:t>
            </w:r>
          </w:p>
        </w:tc>
      </w:tr>
    </w:tbl>
    <w:p>
      <w:pPr>
        <w:keepNext w:val="0"/>
        <w:keepLines w:val="0"/>
        <w:spacing w:before="0" w:after="20" w:line="252" w:lineRule="auto"/>
      </w:pPr>
    </w:p>
    <w:p>
      <w:pPr>
        <w:pStyle w:val="Heading1"/>
      </w:pPr>
      <w:r>
        <w:t>2. Required label particulars</w:t>
      </w:r>
    </w:p>
    <w:tbl>
      <w:tblPr>
        <w:tblW w:type="dxa" w:w="8906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3100"/>
        <w:gridCol w:w="4300"/>
        <w:gridCol w:w="1506"/>
      </w:tblGrid>
      <w:tr>
        <w:trPr>
          <w:tblHeader w:val="true"/>
        </w:trPr>
        <w:tc>
          <w:tcPr>
            <w:tcW w:type="dxa" w:w="31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5"/>
              </w:rPr>
              <w:t>Particular</w:t>
            </w:r>
          </w:p>
        </w:tc>
        <w:tc>
          <w:tcPr>
            <w:tcW w:type="dxa" w:w="43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5"/>
              </w:rPr>
              <w:t>Proposed label text / variable field</w:t>
            </w:r>
          </w:p>
        </w:tc>
        <w:tc>
          <w:tcPr>
            <w:tcW w:type="dxa" w:w="15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5"/>
              </w:rPr>
              <w:t>Rule reference</w:t>
            </w:r>
          </w:p>
        </w:tc>
      </w:tr>
      <w:tr>
        <w:trPr>
          <w:cantSplit w:val="true"/>
        </w:trPr>
        <w:tc>
          <w:tcPr>
            <w:tcW w:type="dxa" w:w="31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  <w:t>Name of device</w:t>
            </w:r>
          </w:p>
        </w:tc>
        <w:tc>
          <w:tcPr>
            <w:tcW w:type="dxa" w:w="43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  <w:t>{labelDeviceName}</w:t>
            </w:r>
          </w:p>
        </w:tc>
        <w:tc>
          <w:tcPr>
            <w:tcW w:type="dxa" w:w="15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  <w:t>Rule 44(a)</w:t>
            </w:r>
          </w:p>
        </w:tc>
      </w:tr>
      <w:tr>
        <w:trPr>
          <w:cantSplit w:val="true"/>
        </w:trPr>
        <w:tc>
          <w:tcPr>
            <w:tcW w:type="dxa" w:w="31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  <w:t>Identification and intended use details</w:t>
            </w:r>
          </w:p>
        </w:tc>
        <w:tc>
          <w:tcPr>
            <w:tcW w:type="dxa" w:w="43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  <w:t>{labelIdentificationUse}</w:t>
            </w:r>
          </w:p>
        </w:tc>
        <w:tc>
          <w:tcPr>
            <w:tcW w:type="dxa" w:w="15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  <w:t>Rule 44(b)</w:t>
            </w:r>
          </w:p>
        </w:tc>
      </w:tr>
      <w:tr>
        <w:trPr>
          <w:cantSplit w:val="true"/>
        </w:trPr>
        <w:tc>
          <w:tcPr>
            <w:tcW w:type="dxa" w:w="31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  <w:t>Manufacturer and manufacturing premises</w:t>
            </w:r>
          </w:p>
        </w:tc>
        <w:tc>
          <w:tcPr>
            <w:tcW w:type="dxa" w:w="43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  <w:t>{labelManufacturerAddress}</w:t>
            </w:r>
          </w:p>
        </w:tc>
        <w:tc>
          <w:tcPr>
            <w:tcW w:type="dxa" w:w="15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  <w:t>Rule 44(c)</w:t>
            </w:r>
          </w:p>
        </w:tc>
      </w:tr>
      <w:tr>
        <w:trPr>
          <w:cantSplit w:val="true"/>
        </w:trPr>
        <w:tc>
          <w:tcPr>
            <w:tcW w:type="dxa" w:w="31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  <w:t>Net quantity / number of units</w:t>
            </w:r>
          </w:p>
        </w:tc>
        <w:tc>
          <w:tcPr>
            <w:tcW w:type="dxa" w:w="43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  <w:t>{labelNetQuantity}</w:t>
            </w:r>
          </w:p>
        </w:tc>
        <w:tc>
          <w:tcPr>
            <w:tcW w:type="dxa" w:w="15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  <w:t>Rule 44(d)</w:t>
            </w:r>
          </w:p>
        </w:tc>
      </w:tr>
      <w:tr>
        <w:trPr>
          <w:cantSplit w:val="true"/>
        </w:trPr>
        <w:tc>
          <w:tcPr>
            <w:tcW w:type="dxa" w:w="31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  <w:t>Manufacture and expiry / shelf life</w:t>
            </w:r>
          </w:p>
        </w:tc>
        <w:tc>
          <w:tcPr>
            <w:tcW w:type="dxa" w:w="43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  <w:t>{labelManufactureExpiry}</w:t>
            </w:r>
          </w:p>
        </w:tc>
        <w:tc>
          <w:tcPr>
            <w:tcW w:type="dxa" w:w="15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  <w:t>Rule 44(e)</w:t>
            </w:r>
          </w:p>
        </w:tc>
      </w:tr>
      <w:tr>
        <w:trPr>
          <w:cantSplit w:val="true"/>
        </w:trPr>
        <w:tc>
          <w:tcPr>
            <w:tcW w:type="dxa" w:w="31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  <w:t>Medicinal / biological substance statement, if applicable</w:t>
            </w:r>
          </w:p>
        </w:tc>
        <w:tc>
          <w:tcPr>
            <w:tcW w:type="dxa" w:w="43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  <w:t>{labelSubstanceStatement}</w:t>
            </w:r>
          </w:p>
        </w:tc>
        <w:tc>
          <w:tcPr>
            <w:tcW w:type="dxa" w:w="15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  <w:t>Rule 44(f)</w:t>
            </w:r>
          </w:p>
        </w:tc>
      </w:tr>
      <w:tr>
        <w:trPr>
          <w:cantSplit w:val="true"/>
        </w:trPr>
        <w:tc>
          <w:tcPr>
            <w:tcW w:type="dxa" w:w="31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  <w:t>Lot / batch number</w:t>
            </w:r>
          </w:p>
        </w:tc>
        <w:tc>
          <w:tcPr>
            <w:tcW w:type="dxa" w:w="43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  <w:t>{labelLotBatch}</w:t>
            </w:r>
          </w:p>
        </w:tc>
        <w:tc>
          <w:tcPr>
            <w:tcW w:type="dxa" w:w="15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  <w:t>Rule 44(g)</w:t>
            </w:r>
          </w:p>
        </w:tc>
      </w:tr>
      <w:tr>
        <w:trPr>
          <w:cantSplit w:val="true"/>
        </w:trPr>
        <w:tc>
          <w:tcPr>
            <w:tcW w:type="dxa" w:w="31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  <w:t>Storage / handling conditions</w:t>
            </w:r>
          </w:p>
        </w:tc>
        <w:tc>
          <w:tcPr>
            <w:tcW w:type="dxa" w:w="43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  <w:t>{labelStorageHandling}</w:t>
            </w:r>
          </w:p>
        </w:tc>
        <w:tc>
          <w:tcPr>
            <w:tcW w:type="dxa" w:w="15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  <w:t>Rule 44(h)</w:t>
            </w:r>
          </w:p>
        </w:tc>
      </w:tr>
      <w:tr>
        <w:trPr>
          <w:cantSplit w:val="true"/>
        </w:trPr>
        <w:tc>
          <w:tcPr>
            <w:tcW w:type="dxa" w:w="31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  <w:t>Sterile status / sterilisation method, if applicable</w:t>
            </w:r>
          </w:p>
        </w:tc>
        <w:tc>
          <w:tcPr>
            <w:tcW w:type="dxa" w:w="43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  <w:t>{labelSterileStatus}</w:t>
            </w:r>
          </w:p>
        </w:tc>
        <w:tc>
          <w:tcPr>
            <w:tcW w:type="dxa" w:w="15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  <w:t>Rule 44(i)</w:t>
            </w:r>
          </w:p>
        </w:tc>
      </w:tr>
      <w:tr>
        <w:trPr>
          <w:cantSplit w:val="true"/>
        </w:trPr>
        <w:tc>
          <w:tcPr>
            <w:tcW w:type="dxa" w:w="31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  <w:t>Warnings / precautions</w:t>
            </w:r>
          </w:p>
        </w:tc>
        <w:tc>
          <w:tcPr>
            <w:tcW w:type="dxa" w:w="43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  <w:t>{labelWarnings}</w:t>
            </w:r>
          </w:p>
        </w:tc>
        <w:tc>
          <w:tcPr>
            <w:tcW w:type="dxa" w:w="15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  <w:t>Rule 44(j)</w:t>
            </w:r>
          </w:p>
        </w:tc>
      </w:tr>
      <w:tr>
        <w:trPr>
          <w:cantSplit w:val="true"/>
        </w:trPr>
        <w:tc>
          <w:tcPr>
            <w:tcW w:type="dxa" w:w="31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  <w:t>Single-use statement, if applicable</w:t>
            </w:r>
          </w:p>
        </w:tc>
        <w:tc>
          <w:tcPr>
            <w:tcW w:type="dxa" w:w="43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  <w:t>{labelSingleUse}</w:t>
            </w:r>
          </w:p>
        </w:tc>
        <w:tc>
          <w:tcPr>
            <w:tcW w:type="dxa" w:w="15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  <w:t>Rule 44(k)</w:t>
            </w:r>
          </w:p>
        </w:tc>
      </w:tr>
      <w:tr>
        <w:trPr>
          <w:cantSplit w:val="true"/>
        </w:trPr>
        <w:tc>
          <w:tcPr>
            <w:tcW w:type="dxa" w:w="31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  <w:t>Manufacturing licence number (domestic), if applicable</w:t>
            </w:r>
          </w:p>
        </w:tc>
        <w:tc>
          <w:tcPr>
            <w:tcW w:type="dxa" w:w="43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  <w:t>{labelManufacturingLicence}</w:t>
            </w:r>
          </w:p>
        </w:tc>
        <w:tc>
          <w:tcPr>
            <w:tcW w:type="dxa" w:w="15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  <w:t>Rule 44(m)</w:t>
            </w:r>
          </w:p>
        </w:tc>
      </w:tr>
      <w:tr>
        <w:trPr>
          <w:cantSplit w:val="true"/>
        </w:trPr>
        <w:tc>
          <w:tcPr>
            <w:tcW w:type="dxa" w:w="31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  <w:t>Import licence, importer and site details, if applicable</w:t>
            </w:r>
          </w:p>
        </w:tc>
        <w:tc>
          <w:tcPr>
            <w:tcW w:type="dxa" w:w="43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  <w:t>{labelImportStickerDetails}</w:t>
            </w:r>
          </w:p>
        </w:tc>
        <w:tc>
          <w:tcPr>
            <w:tcW w:type="dxa" w:w="15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  <w:t>Rule 44(n)</w:t>
            </w:r>
          </w:p>
        </w:tc>
      </w:tr>
      <w:tr>
        <w:trPr>
          <w:cantSplit w:val="true"/>
        </w:trPr>
        <w:tc>
          <w:tcPr>
            <w:tcW w:type="dxa" w:w="31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  <w:t>Symbols and explanations</w:t>
            </w:r>
          </w:p>
        </w:tc>
        <w:tc>
          <w:tcPr>
            <w:tcW w:type="dxa" w:w="43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  <w:t>{labelSymbols}</w:t>
            </w:r>
          </w:p>
        </w:tc>
        <w:tc>
          <w:tcPr>
            <w:tcW w:type="dxa" w:w="15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  <w:t>Rule 44 proviso</w:t>
            </w:r>
          </w:p>
        </w:tc>
      </w:tr>
    </w:tbl>
    <w:p>
      <w:pPr>
        <w:keepNext w:val="0"/>
        <w:keepLines w:val="0"/>
        <w:spacing w:before="0" w:after="20" w:line="252" w:lineRule="auto"/>
      </w:pPr>
    </w:p>
    <w:p>
      <w:pPr>
        <w:pStyle w:val="Heading1"/>
      </w:pPr>
      <w:r>
        <w:t>3. Variable-data controls</w:t>
      </w:r>
    </w:p>
    <w:p>
      <w:pPr>
        <w:keepNext w:val="0"/>
        <w:keepLines/>
        <w:spacing w:before="0" w:after="20" w:line="259" w:lineRule="auto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{labelVariableDataControls}</w:t>
      </w:r>
      <w:r>
        <w:rPr>
          <w:rFonts w:ascii="Times New Roman" w:hAnsi="Times New Roman" w:cs="Times New Roman"/>
          <w:b w:val="0"/>
          <w:i w:val="0"/>
          <w:vanish w:val="0"/>
          <w:color w:val="000000"/>
          <w:sz w:val="18"/>
        </w:rPr>
        <w:br/>
        <w:br/>
        <w:br/>
      </w:r>
    </w:p>
    <w:p>
      <w:pPr>
        <w:keepNext w:val="0"/>
        <w:keepLines w:val="0"/>
        <w:spacing w:before="0" w:after="80" w:line="252" w:lineRule="auto"/>
      </w:pPr>
      <w:r>
        <w:rPr>
          <w:rFonts w:ascii="Times New Roman" w:hAnsi="Times New Roman" w:cs="Times New Roman"/>
          <w:b w:val="0"/>
          <w:i/>
          <w:vanish w:val="0"/>
          <w:color w:val="666666"/>
          <w:sz w:val="17"/>
        </w:rPr>
        <w:t>Explain how lot/batch, dates, licence details and other variable data are generated, verified and reconciled.</w:t>
      </w:r>
    </w:p>
    <w:p>
      <w:pPr>
        <w:pStyle w:val="Heading1"/>
      </w:pPr>
      <w:r>
        <w:t>4. Artwork placement</w:t>
      </w:r>
    </w:p>
    <w:p>
      <w:pPr>
        <w:keepNext w:val="0"/>
        <w:keepLines/>
        <w:spacing w:before="0" w:after="20" w:line="259" w:lineRule="auto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{labelArtworkPlacement}</w:t>
      </w:r>
      <w:r>
        <w:rPr>
          <w:rFonts w:ascii="Times New Roman" w:hAnsi="Times New Roman" w:cs="Times New Roman"/>
          <w:b w:val="0"/>
          <w:i w:val="0"/>
          <w:vanish w:val="0"/>
          <w:color w:val="000000"/>
          <w:sz w:val="18"/>
        </w:rPr>
        <w:br/>
        <w:br/>
        <w:br/>
        <w:br/>
      </w:r>
    </w:p>
    <w:p>
      <w:pPr>
        <w:keepNext w:val="0"/>
        <w:keepLines w:val="0"/>
        <w:spacing w:before="0" w:after="80" w:line="252" w:lineRule="auto"/>
      </w:pPr>
      <w:r>
        <w:rPr>
          <w:rFonts w:ascii="Times New Roman" w:hAnsi="Times New Roman" w:cs="Times New Roman"/>
          <w:b w:val="0"/>
          <w:i/>
          <w:vanish w:val="0"/>
          <w:color w:val="666666"/>
          <w:sz w:val="17"/>
        </w:rPr>
        <w:t>Insert or cross-reference clear artwork for immediate container, shelf pack and outer pack. For small labels, identify which information moves to the next packaging level.</w:t>
      </w:r>
    </w:p>
    <w:p>
      <w:pPr>
        <w:pStyle w:val="Heading1"/>
      </w:pPr>
      <w:r>
        <w:t>5. Labelling compliance conclusion</w:t>
      </w:r>
    </w:p>
    <w:p>
      <w:pPr>
        <w:keepNext w:val="0"/>
        <w:keepLines/>
        <w:spacing w:before="0" w:after="20" w:line="259" w:lineRule="auto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{labellingConclusion}</w:t>
      </w:r>
      <w:r>
        <w:rPr>
          <w:rFonts w:ascii="Times New Roman" w:hAnsi="Times New Roman" w:cs="Times New Roman"/>
          <w:b w:val="0"/>
          <w:i w:val="0"/>
          <w:vanish w:val="0"/>
          <w:color w:val="000000"/>
          <w:sz w:val="18"/>
        </w:rPr>
        <w:br/>
        <w:br/>
      </w:r>
    </w:p>
    <w:p>
      <w:pPr>
        <w:keepNext w:val="0"/>
        <w:keepLines w:val="0"/>
        <w:spacing w:before="0" w:after="80" w:line="252" w:lineRule="auto"/>
      </w:pPr>
      <w:r>
        <w:rPr>
          <w:rFonts w:ascii="Times New Roman" w:hAnsi="Times New Roman" w:cs="Times New Roman"/>
          <w:b w:val="0"/>
          <w:i/>
          <w:vanish w:val="0"/>
          <w:color w:val="666666"/>
          <w:sz w:val="17"/>
        </w:rPr>
        <w:t>Confirm consistency with the IFU/product insert and device dossier; identify any conditional field awaiting licence grant.</w:t>
      </w:r>
    </w:p>
    <w:p>
      <w:pPr>
        <w:pStyle w:val="Heading1"/>
      </w:pPr>
      <w:r>
        <w:t>Approval and certification</w:t>
      </w:r>
    </w:p>
    <w:tbl>
      <w:tblPr>
        <w:tblW w:type="dxa" w:w="8906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1550"/>
        <w:gridCol w:w="2100"/>
        <w:gridCol w:w="1900"/>
        <w:gridCol w:w="1450"/>
        <w:gridCol w:w="1906"/>
      </w:tblGrid>
      <w:tr>
        <w:trPr>
          <w:tblHeader w:val="true"/>
        </w:trPr>
        <w:tc>
          <w:tcPr>
            <w:tcW w:type="dxa" w:w="15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6"/>
              </w:rPr>
              <w:t>Role</w:t>
            </w:r>
          </w:p>
        </w:tc>
        <w:tc>
          <w:tcPr>
            <w:tcW w:type="dxa" w:w="21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6"/>
              </w:rPr>
              <w:t>Name</w:t>
            </w:r>
          </w:p>
        </w:tc>
        <w:tc>
          <w:tcPr>
            <w:tcW w:type="dxa" w:w="19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6"/>
              </w:rPr>
              <w:t>Designation</w:t>
            </w:r>
          </w:p>
        </w:tc>
        <w:tc>
          <w:tcPr>
            <w:tcW w:type="dxa" w:w="14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6"/>
              </w:rPr>
              <w:t>Date</w:t>
            </w:r>
          </w:p>
        </w:tc>
        <w:tc>
          <w:tcPr>
            <w:tcW w:type="dxa" w:w="19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6"/>
              </w:rPr>
              <w:t>Signature</w:t>
            </w:r>
          </w:p>
        </w:tc>
      </w:tr>
      <w:tr>
        <w:trPr>
          <w:cantSplit w:val="true"/>
        </w:trPr>
        <w:tc>
          <w:tcPr>
            <w:tcW w:type="dxa" w:w="15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Prepared by</w:t>
            </w:r>
          </w:p>
        </w:tc>
        <w:tc>
          <w:tcPr>
            <w:tcW w:type="dxa" w:w="21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{preparedByName}</w:t>
            </w:r>
          </w:p>
        </w:tc>
        <w:tc>
          <w:tcPr>
            <w:tcW w:type="dxa" w:w="19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{preparedByDesignation}</w:t>
            </w:r>
          </w:p>
        </w:tc>
        <w:tc>
          <w:tcPr>
            <w:tcW w:type="dxa" w:w="14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{preparedDate}</w:t>
            </w:r>
          </w:p>
        </w:tc>
        <w:tc>
          <w:tcPr>
            <w:tcW w:type="dxa" w:w="19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________________</w:t>
            </w:r>
          </w:p>
        </w:tc>
      </w:tr>
      <w:tr>
        <w:trPr>
          <w:cantSplit w:val="true"/>
        </w:trPr>
        <w:tc>
          <w:tcPr>
            <w:tcW w:type="dxa" w:w="15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Reviewed by</w:t>
            </w:r>
          </w:p>
        </w:tc>
        <w:tc>
          <w:tcPr>
            <w:tcW w:type="dxa" w:w="21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{reviewedByName}</w:t>
            </w:r>
          </w:p>
        </w:tc>
        <w:tc>
          <w:tcPr>
            <w:tcW w:type="dxa" w:w="19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{reviewedByDesignation}</w:t>
            </w:r>
          </w:p>
        </w:tc>
        <w:tc>
          <w:tcPr>
            <w:tcW w:type="dxa" w:w="14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{reviewedDate}</w:t>
            </w:r>
          </w:p>
        </w:tc>
        <w:tc>
          <w:tcPr>
            <w:tcW w:type="dxa" w:w="19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________________</w:t>
            </w:r>
          </w:p>
        </w:tc>
      </w:tr>
      <w:tr>
        <w:trPr>
          <w:cantSplit w:val="true"/>
        </w:trPr>
        <w:tc>
          <w:tcPr>
            <w:tcW w:type="dxa" w:w="15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Approved by</w:t>
            </w:r>
          </w:p>
        </w:tc>
        <w:tc>
          <w:tcPr>
            <w:tcW w:type="dxa" w:w="21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{approvedByName}</w:t>
            </w:r>
          </w:p>
        </w:tc>
        <w:tc>
          <w:tcPr>
            <w:tcW w:type="dxa" w:w="19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{approvedByDesignation}</w:t>
            </w:r>
          </w:p>
        </w:tc>
        <w:tc>
          <w:tcPr>
            <w:tcW w:type="dxa" w:w="14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{approvedDate}</w:t>
            </w:r>
          </w:p>
        </w:tc>
        <w:tc>
          <w:tcPr>
            <w:tcW w:type="dxa" w:w="19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________________</w:t>
            </w:r>
          </w:p>
        </w:tc>
      </w:tr>
    </w:tbl>
    <w:p>
      <w:pPr>
        <w:keepNext w:val="0"/>
        <w:keepLines w:val="0"/>
        <w:spacing w:before="0" w:after="20" w:line="252" w:lineRule="auto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Times New Roman" w:hAnsi="Times New Roman" w:cs="Times New Roman"/>
        <w:b w:val="0"/>
        <w:i w:val="0"/>
        <w:vanish w:val="0"/>
        <w:color w:val="666666"/>
        <w:sz w:val="17"/>
      </w:rPr>
      <w:t xml:space="preserve">Page </w:t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Times New Roman" w:hAnsi="Times New Roman" w:cs="Times New Roman"/>
        <w:b w:val="0"/>
        <w:i w:val="0"/>
        <w:vanish w:val="0"/>
        <w:color w:val="666666"/>
        <w:sz w:val="16"/>
      </w:rPr>
      <w:t>MD-26 Non-Predicate Device Permission Dossier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50" w:lineRule="auto"/>
    </w:pPr>
    <w:rPr>
      <w:rFonts w:ascii="Times New Roman" w:hAnsi="Times New Roman" w:cs="Times New Roman"/>
      <w:b w:val="0"/>
      <w:color w:val="00000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Times New Roman" w:hAnsi="Times New Roman" w:cs="Times New Roman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Times New Roman" w:hAnsi="Times New Roman" w:cs="Times New Roman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Times New Roman" w:hAnsi="Times New Roman" w:cs="Times New Roman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MD-26 Proposed Labelling Specification</dc:title>
  <dc:subject>Proposed labelling content and pack configuration</dc:subject>
  <dc:creator>Medical Doc Generator</dc:creator>
  <cp:keywords>MD-26, label, pack size, Rule 44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