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REGULATORY STATUS AND RESTRICTIONS STATEMENT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| New IVD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{ivdGenericName}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IV(b)(4) and Form MD-28 checklist item 13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Marketed / approved countries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400"/>
        <w:gridCol w:w="1800"/>
        <w:gridCol w:w="2200"/>
        <w:gridCol w:w="1300"/>
        <w:gridCol w:w="1100"/>
        <w:gridCol w:w="1106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Country / authority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Approval / FSC reference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Approved intended use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First approval / sale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Current status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Restrictions / conditions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{#ivdRegulatoryStatus}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{countryAuthority}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{approvalFSCReference}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{approvedUse}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{firstApprovalSale}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{currentStatus}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{restrictions}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{/ivdRegulatoryStatus}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2. Pending, rejected, suspended or withdrawn applications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00"/>
        <w:gridCol w:w="2100"/>
        <w:gridCol w:w="1350"/>
        <w:gridCol w:w="2400"/>
        <w:gridCol w:w="1556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Country / authority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Application / device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Status/date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Reason / regulatory concern</w:t>
            </w:r>
          </w:p>
        </w:tc>
        <w:tc>
          <w:tcPr>
            <w:tcW w:type="dxa" w:w="15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Applicant action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{#ivdRegulatoryActions}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{countryAuthority}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{applicationDevice}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{statusDate}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{reasonConcern}</w:t>
            </w:r>
          </w:p>
        </w:tc>
        <w:tc>
          <w:tcPr>
            <w:tcW w:type="dxa" w:w="15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{applicantAction}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{/ivdRegulatoryActions}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3. Safety actions and restrictions summary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{ivdSafetyActionsSummary}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recalls, FSCA, advisory notices, import alerts, use restrictions and unresolved regulatory commitments; state none only if verified.</w:t>
      </w:r>
    </w:p>
    <w:p>
      <w:pPr>
        <w:pStyle w:val="Heading1"/>
      </w:pPr>
      <w:r>
        <w:t>4. Declaration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{ivdRegulatoryDeclaration}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Declare that the table is complete and cross-referenced to genuine certificates/authority letters; list the evidence files.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Regulatory Status and Restrictions Statement</dc:title>
  <dc:subject>Regulatory status statement for new IVD</dc:subject>
  <dc:creator>Medical Doc Generator</dc:creator>
  <cp:keywords>MD-28, regulatory status, restrictions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