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MINE PLANNING &amp; DESIGN INSTITUTE (CMPDI) / CIL</w:t>
      </w:r>
    </w:p>
    <w:p>
      <w:pPr>
        <w:pStyle w:val="Heading1"/>
      </w:pPr>
      <w:r>
        <w:t>Quarterly Coal Extraction Intelligence Briefing - FY 2024-25</w:t>
      </w:r>
    </w:p>
    <w:p>
      <w:r>
        <w:t>Report Type: QUARTERLY | Subsidiary: Coal India Limited &amp; Subsidiaries | Generated: 04-Oct-2026</w:t>
      </w:r>
    </w:p>
    <w:p>
      <w:pPr>
        <w:pStyle w:val="Heading2"/>
      </w:pPr>
      <w:r>
        <w:t>1. Executive Summary</w:t>
      </w:r>
    </w:p>
    <w:p>
      <w:r>
        <w:t>This automated operational and data intelligence report synthesizes verified records for Coal India Limited &amp; Subsidiaries during FY 2024-25. Production achieved stands at 815.4 MT against target of 838.0 MT (97.3% achievement rate).</w:t>
      </w:r>
    </w:p>
    <w:p>
      <w:pPr>
        <w:pStyle w:val="Heading2"/>
      </w:pPr>
      <w:r>
        <w:t>2. Key Operational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 Parameter</w:t>
            </w:r>
          </w:p>
        </w:tc>
        <w:tc>
          <w:tcPr>
            <w:tcW w:type="dxa" w:w="2880"/>
          </w:tcPr>
          <w:p>
            <w:r>
              <w:t>Recorded Value</w:t>
            </w:r>
          </w:p>
        </w:tc>
        <w:tc>
          <w:tcPr>
            <w:tcW w:type="dxa" w:w="2880"/>
          </w:tcPr>
          <w:p>
            <w:r>
              <w:t>Measurement Unit</w:t>
            </w:r>
          </w:p>
        </w:tc>
      </w:tr>
      <w:tr>
        <w:tc>
          <w:tcPr>
            <w:tcW w:type="dxa" w:w="2880"/>
          </w:tcPr>
          <w:p>
            <w:r>
              <w:t>Subsidiary</w:t>
            </w:r>
          </w:p>
        </w:tc>
        <w:tc>
          <w:tcPr>
            <w:tcW w:type="dxa" w:w="2880"/>
          </w:tcPr>
          <w:p>
            <w:r>
              <w:t>Coal India Limited &amp; Subsidiaries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Financial Year</w:t>
            </w:r>
          </w:p>
        </w:tc>
        <w:tc>
          <w:tcPr>
            <w:tcW w:type="dxa" w:w="2880"/>
          </w:tcPr>
          <w:p>
            <w:r>
              <w:t>2024-25</w:t>
            </w:r>
          </w:p>
        </w:tc>
        <w:tc>
          <w:tcPr>
            <w:tcW w:type="dxa" w:w="2880"/>
          </w:tcPr>
          <w:p>
            <w:r>
              <w:t>Fiscal Period</w:t>
            </w:r>
          </w:p>
        </w:tc>
      </w:tr>
      <w:tr>
        <w:tc>
          <w:tcPr>
            <w:tcW w:type="dxa" w:w="2880"/>
          </w:tcPr>
          <w:p>
            <w:r>
              <w:t>Actual Production</w:t>
            </w:r>
          </w:p>
        </w:tc>
        <w:tc>
          <w:tcPr>
            <w:tcW w:type="dxa" w:w="2880"/>
          </w:tcPr>
          <w:p>
            <w:r>
              <w:t>815.4</w:t>
            </w:r>
          </w:p>
        </w:tc>
        <w:tc>
          <w:tcPr>
            <w:tcW w:type="dxa" w:w="2880"/>
          </w:tcPr>
          <w:p>
            <w:r>
              <w:t>Million Tonnes (MT)</w:t>
            </w:r>
          </w:p>
        </w:tc>
      </w:tr>
      <w:tr>
        <w:tc>
          <w:tcPr>
            <w:tcW w:type="dxa" w:w="2880"/>
          </w:tcPr>
          <w:p>
            <w:r>
              <w:t>Target Production</w:t>
            </w:r>
          </w:p>
        </w:tc>
        <w:tc>
          <w:tcPr>
            <w:tcW w:type="dxa" w:w="2880"/>
          </w:tcPr>
          <w:p>
            <w:r>
              <w:t>838.0</w:t>
            </w:r>
          </w:p>
        </w:tc>
        <w:tc>
          <w:tcPr>
            <w:tcW w:type="dxa" w:w="2880"/>
          </w:tcPr>
          <w:p>
            <w:r>
              <w:t>Million Tonnes (MT)</w:t>
            </w:r>
          </w:p>
        </w:tc>
      </w:tr>
      <w:tr>
        <w:tc>
          <w:tcPr>
            <w:tcW w:type="dxa" w:w="2880"/>
          </w:tcPr>
          <w:p>
            <w:r>
              <w:t>Dispatch / Offtake</w:t>
            </w:r>
          </w:p>
        </w:tc>
        <w:tc>
          <w:tcPr>
            <w:tcW w:type="dxa" w:w="2880"/>
          </w:tcPr>
          <w:p>
            <w:r>
              <w:t>798.2</w:t>
            </w:r>
          </w:p>
        </w:tc>
        <w:tc>
          <w:tcPr>
            <w:tcW w:type="dxa" w:w="2880"/>
          </w:tcPr>
          <w:p>
            <w:r>
              <w:t>Million Tonnes (MT)</w:t>
            </w:r>
          </w:p>
        </w:tc>
      </w:tr>
      <w:tr>
        <w:tc>
          <w:tcPr>
            <w:tcW w:type="dxa" w:w="2880"/>
          </w:tcPr>
          <w:p>
            <w:r>
              <w:t>Overburden Removal</w:t>
            </w:r>
          </w:p>
        </w:tc>
        <w:tc>
          <w:tcPr>
            <w:tcW w:type="dxa" w:w="2880"/>
          </w:tcPr>
          <w:p>
            <w:r>
              <w:t>1840.5</w:t>
            </w:r>
          </w:p>
        </w:tc>
        <w:tc>
          <w:tcPr>
            <w:tcW w:type="dxa" w:w="2880"/>
          </w:tcPr>
          <w:p>
            <w:r>
              <w:t>Million cu.m</w:t>
            </w:r>
          </w:p>
        </w:tc>
      </w:tr>
      <w:tr>
        <w:tc>
          <w:tcPr>
            <w:tcW w:type="dxa" w:w="2880"/>
          </w:tcPr>
          <w:p>
            <w:r>
              <w:t>Target Achievement</w:t>
            </w:r>
          </w:p>
        </w:tc>
        <w:tc>
          <w:tcPr>
            <w:tcW w:type="dxa" w:w="2880"/>
          </w:tcPr>
          <w:p>
            <w:r>
              <w:t>97.3%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</w:tbl>
    <w:p>
      <w:pPr>
        <w:pStyle w:val="Heading2"/>
      </w:pPr>
      <w:r>
        <w:t>3. AI Observations &amp; Discrepancy Analysis</w:t>
      </w:r>
    </w:p>
    <w:p>
      <w:r>
        <w:t>• Verified operational returns indicate 815.4 MT extracted against target 838.0 MT.</w:t>
      </w:r>
    </w:p>
    <w:p>
      <w:r>
        <w:t>• Stripping ratio sustained within statutory benchmark limits (2.25 cu.m/tonne average).</w:t>
      </w:r>
    </w:p>
    <w:p>
      <w:r>
        <w:t>• Continuous dispatch to thermal power plants maintained buffer stock above DGMS critical thresholds.</w:t>
      </w:r>
    </w:p>
    <w:p>
      <w:pPr>
        <w:pStyle w:val="Heading2"/>
      </w:pPr>
      <w:r>
        <w:t>4. Exceptions &amp; Operational Bottlenecks</w:t>
      </w:r>
    </w:p>
    <w:p>
      <w:r>
        <w:t>• Monsoon pithead drainage delayed overburden excavation in Block II during Q2.</w:t>
      </w:r>
    </w:p>
    <w:p>
      <w:r>
        <w:t>• Weighbridge synchronization discrepancy flagged at Sonepur Bazari siding, currently under reconciliation.</w:t>
      </w:r>
    </w:p>
    <w:p>
      <w:pPr>
        <w:pStyle w:val="Heading2"/>
      </w:pPr>
      <w:r>
        <w:t>5. Traceability &amp; Source References</w:t>
      </w:r>
    </w:p>
    <w:p>
      <w:r>
        <w:t>• Source Document: Coal_Monthly_Returns_Jan.pdf (Page 4) - Verified</w:t>
      </w:r>
    </w:p>
    <w:p>
      <w:r>
        <w:t>• Source Document: CMPDI_Technical_Review_2024-25.pdf (Page 12) -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