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2B5B"/>
          <w:sz w:val="44"/>
        </w:rPr>
        <w:t>FMCG SECTOR – 5-YEAR FINANCIAL ANALYSIS</w:t>
      </w:r>
    </w:p>
    <w:p>
      <w:pPr>
        <w:jc w:val="center"/>
      </w:pPr>
      <w:r>
        <w:rPr>
          <w:color w:val="14898B"/>
          <w:sz w:val="24"/>
        </w:rPr>
        <w:t>Hindustan Unilever • Britannia Industries • Nestlé India</w:t>
      </w:r>
    </w:p>
    <w:p>
      <w:pPr>
        <w:jc w:val="center"/>
      </w:pPr>
      <w:r>
        <w:rPr>
          <w:i/>
          <w:color w:val="5A5A5A"/>
          <w:sz w:val="17"/>
        </w:rPr>
        <w:t>FY 2021-22 / FY2022 to FY2025-26 / FY2026 | Figures in ₹ crore unless stated</w:t>
      </w:r>
    </w:p>
    <w:p>
      <w:pPr>
        <w:pStyle w:val="Heading1"/>
      </w:pPr>
      <w:r>
        <w:t>1. Executive Summary</w:t>
      </w:r>
    </w:p>
    <w:p>
      <w:r>
        <w:rPr>
          <w:b w:val="0"/>
        </w:rPr>
        <w:t xml:space="preserve">This report combines the </w:t>
      </w:r>
      <w:r>
        <w:rPr>
          <w:b/>
        </w:rPr>
        <w:t>AFM presentation</w:t>
      </w:r>
      <w:r>
        <w:t xml:space="preserve"> with the underlying five-year ratio workbook. The two files tell a consistent broad story: HUL operates from the largest revenue base, Britannia shows the clearest deleveraging and improving operating performance, while Nestlé India records very strong return ratios and cash-flow conversion. The detailed workbook is used for the numerical analysis below.</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800"/>
            <w:vAlign w:val="center"/>
            <w:shd w:fill="19305F"/>
          </w:tcPr>
          <w:p>
            <w:pPr>
              <w:spacing w:after="0"/>
            </w:pPr>
            <w:r/>
            <w:r>
              <w:rPr>
                <w:rFonts w:ascii="Aptos" w:hAnsi="Aptos"/>
                <w:b/>
                <w:color w:val="FFFFFF"/>
                <w:sz w:val="17"/>
              </w:rPr>
              <w:t>Company</w:t>
            </w:r>
          </w:p>
        </w:tc>
        <w:tc>
          <w:tcPr>
            <w:tcW w:type="dxa" w:w="1800"/>
            <w:vAlign w:val="center"/>
            <w:shd w:fill="19305F"/>
          </w:tcPr>
          <w:p>
            <w:pPr>
              <w:spacing w:after="0"/>
            </w:pPr>
            <w:r/>
            <w:r>
              <w:rPr>
                <w:rFonts w:ascii="Aptos" w:hAnsi="Aptos"/>
                <w:b/>
                <w:color w:val="FFFFFF"/>
                <w:sz w:val="17"/>
              </w:rPr>
              <w:t>FY2026 Revenue</w:t>
            </w:r>
          </w:p>
        </w:tc>
        <w:tc>
          <w:tcPr>
            <w:tcW w:type="dxa" w:w="1728"/>
            <w:vAlign w:val="center"/>
            <w:shd w:fill="19305F"/>
          </w:tcPr>
          <w:p>
            <w:pPr>
              <w:spacing w:after="0"/>
            </w:pPr>
            <w:r/>
            <w:r>
              <w:rPr>
                <w:rFonts w:ascii="Aptos" w:hAnsi="Aptos"/>
                <w:b/>
                <w:color w:val="FFFFFF"/>
                <w:sz w:val="17"/>
              </w:rPr>
              <w:t>FY2026 PAT*</w:t>
            </w:r>
          </w:p>
        </w:tc>
        <w:tc>
          <w:tcPr>
            <w:tcW w:type="dxa" w:w="1224"/>
            <w:vAlign w:val="center"/>
            <w:shd w:fill="19305F"/>
          </w:tcPr>
          <w:p>
            <w:pPr>
              <w:spacing w:after="0"/>
            </w:pPr>
            <w:r/>
            <w:r>
              <w:rPr>
                <w:rFonts w:ascii="Aptos" w:hAnsi="Aptos"/>
                <w:b/>
                <w:color w:val="FFFFFF"/>
                <w:sz w:val="17"/>
              </w:rPr>
              <w:t>ROE</w:t>
            </w:r>
          </w:p>
        </w:tc>
        <w:tc>
          <w:tcPr>
            <w:tcW w:type="dxa" w:w="1080"/>
            <w:vAlign w:val="center"/>
            <w:shd w:fill="19305F"/>
          </w:tcPr>
          <w:p>
            <w:pPr>
              <w:spacing w:after="0"/>
            </w:pPr>
            <w:r/>
            <w:r>
              <w:rPr>
                <w:rFonts w:ascii="Aptos" w:hAnsi="Aptos"/>
                <w:b/>
                <w:color w:val="FFFFFF"/>
                <w:sz w:val="17"/>
              </w:rPr>
              <w:t>D/E</w:t>
            </w:r>
          </w:p>
        </w:tc>
      </w:tr>
      <w:tr>
        <w:tc>
          <w:tcPr>
            <w:tcW w:type="dxa" w:w="1800"/>
            <w:vAlign w:val="center"/>
          </w:tcPr>
          <w:p>
            <w:pPr>
              <w:spacing w:after="0"/>
            </w:pPr>
            <w:r/>
            <w:r>
              <w:rPr>
                <w:rFonts w:ascii="Aptos" w:hAnsi="Aptos"/>
                <w:b w:val="0"/>
                <w:sz w:val="17"/>
              </w:rPr>
              <w:t>HUL</w:t>
            </w:r>
          </w:p>
        </w:tc>
        <w:tc>
          <w:tcPr>
            <w:tcW w:type="dxa" w:w="1800"/>
            <w:vAlign w:val="center"/>
          </w:tcPr>
          <w:p>
            <w:pPr>
              <w:spacing w:after="0"/>
            </w:pPr>
            <w:r/>
            <w:r>
              <w:rPr>
                <w:rFonts w:ascii="Aptos" w:hAnsi="Aptos"/>
                <w:b w:val="0"/>
                <w:sz w:val="17"/>
              </w:rPr>
              <w:t>₹64,468 Cr</w:t>
            </w:r>
          </w:p>
        </w:tc>
        <w:tc>
          <w:tcPr>
            <w:tcW w:type="dxa" w:w="1728"/>
            <w:vAlign w:val="center"/>
          </w:tcPr>
          <w:p>
            <w:pPr>
              <w:spacing w:after="0"/>
            </w:pPr>
            <w:r/>
            <w:r>
              <w:rPr>
                <w:rFonts w:ascii="Aptos" w:hAnsi="Aptos"/>
                <w:b w:val="0"/>
                <w:sz w:val="17"/>
              </w:rPr>
              <w:t>₹15,040 Cr</w:t>
            </w:r>
          </w:p>
        </w:tc>
        <w:tc>
          <w:tcPr>
            <w:tcW w:type="dxa" w:w="1224"/>
            <w:vAlign w:val="center"/>
          </w:tcPr>
          <w:p>
            <w:pPr>
              <w:spacing w:after="0"/>
            </w:pPr>
            <w:r/>
            <w:r>
              <w:rPr>
                <w:rFonts w:ascii="Aptos" w:hAnsi="Aptos"/>
                <w:b w:val="0"/>
                <w:sz w:val="17"/>
              </w:rPr>
              <w:t>30.7%</w:t>
            </w:r>
          </w:p>
        </w:tc>
        <w:tc>
          <w:tcPr>
            <w:tcW w:type="dxa" w:w="1080"/>
            <w:vAlign w:val="center"/>
          </w:tcPr>
          <w:p>
            <w:pPr>
              <w:spacing w:after="0"/>
            </w:pPr>
            <w:r/>
            <w:r>
              <w:rPr>
                <w:rFonts w:ascii="Aptos" w:hAnsi="Aptos"/>
                <w:b w:val="0"/>
                <w:sz w:val="17"/>
              </w:rPr>
              <w:t>0.02x</w:t>
            </w:r>
          </w:p>
        </w:tc>
      </w:tr>
      <w:tr>
        <w:tc>
          <w:tcPr>
            <w:tcW w:type="dxa" w:w="1800"/>
            <w:vAlign w:val="center"/>
            <w:shd w:fill="F4F6F9"/>
          </w:tcPr>
          <w:p>
            <w:pPr>
              <w:spacing w:after="0"/>
            </w:pPr>
            <w:r/>
            <w:r>
              <w:rPr>
                <w:rFonts w:ascii="Aptos" w:hAnsi="Aptos"/>
                <w:b w:val="0"/>
                <w:sz w:val="17"/>
              </w:rPr>
              <w:t>Britannia</w:t>
            </w:r>
          </w:p>
        </w:tc>
        <w:tc>
          <w:tcPr>
            <w:tcW w:type="dxa" w:w="1800"/>
            <w:vAlign w:val="center"/>
            <w:shd w:fill="F4F6F9"/>
          </w:tcPr>
          <w:p>
            <w:pPr>
              <w:spacing w:after="0"/>
            </w:pPr>
            <w:r/>
            <w:r>
              <w:rPr>
                <w:rFonts w:ascii="Aptos" w:hAnsi="Aptos"/>
                <w:b w:val="0"/>
                <w:sz w:val="17"/>
              </w:rPr>
              <w:t>₹18,764 Cr</w:t>
            </w:r>
          </w:p>
        </w:tc>
        <w:tc>
          <w:tcPr>
            <w:tcW w:type="dxa" w:w="1728"/>
            <w:vAlign w:val="center"/>
            <w:shd w:fill="F4F6F9"/>
          </w:tcPr>
          <w:p>
            <w:pPr>
              <w:spacing w:after="0"/>
            </w:pPr>
            <w:r/>
            <w:r>
              <w:rPr>
                <w:rFonts w:ascii="Aptos" w:hAnsi="Aptos"/>
                <w:b w:val="0"/>
                <w:sz w:val="17"/>
              </w:rPr>
              <w:t>₹2,562 Cr</w:t>
            </w:r>
          </w:p>
        </w:tc>
        <w:tc>
          <w:tcPr>
            <w:tcW w:type="dxa" w:w="1224"/>
            <w:vAlign w:val="center"/>
            <w:shd w:fill="F4F6F9"/>
          </w:tcPr>
          <w:p>
            <w:pPr>
              <w:spacing w:after="0"/>
            </w:pPr>
            <w:r/>
            <w:r>
              <w:rPr>
                <w:rFonts w:ascii="Aptos" w:hAnsi="Aptos"/>
                <w:b w:val="0"/>
                <w:sz w:val="17"/>
              </w:rPr>
              <w:t>50.2%</w:t>
            </w:r>
          </w:p>
        </w:tc>
        <w:tc>
          <w:tcPr>
            <w:tcW w:type="dxa" w:w="1080"/>
            <w:vAlign w:val="center"/>
            <w:shd w:fill="F4F6F9"/>
          </w:tcPr>
          <w:p>
            <w:pPr>
              <w:spacing w:after="0"/>
            </w:pPr>
            <w:r/>
            <w:r>
              <w:rPr>
                <w:rFonts w:ascii="Aptos" w:hAnsi="Aptos"/>
                <w:b w:val="0"/>
                <w:sz w:val="17"/>
              </w:rPr>
              <w:t>0.27x</w:t>
            </w:r>
          </w:p>
        </w:tc>
      </w:tr>
      <w:tr>
        <w:tc>
          <w:tcPr>
            <w:tcW w:type="dxa" w:w="1800"/>
            <w:vAlign w:val="center"/>
          </w:tcPr>
          <w:p>
            <w:pPr>
              <w:spacing w:after="0"/>
            </w:pPr>
            <w:r/>
            <w:r>
              <w:rPr>
                <w:rFonts w:ascii="Aptos" w:hAnsi="Aptos"/>
                <w:b w:val="0"/>
                <w:sz w:val="17"/>
              </w:rPr>
              <w:t>Nestlé India</w:t>
            </w:r>
          </w:p>
        </w:tc>
        <w:tc>
          <w:tcPr>
            <w:tcW w:type="dxa" w:w="1800"/>
            <w:vAlign w:val="center"/>
          </w:tcPr>
          <w:p>
            <w:pPr>
              <w:spacing w:after="0"/>
            </w:pPr>
            <w:r/>
            <w:r>
              <w:rPr>
                <w:rFonts w:ascii="Aptos" w:hAnsi="Aptos"/>
                <w:b w:val="0"/>
                <w:sz w:val="17"/>
              </w:rPr>
              <w:t>₹23,155 Cr</w:t>
            </w:r>
          </w:p>
        </w:tc>
        <w:tc>
          <w:tcPr>
            <w:tcW w:type="dxa" w:w="1728"/>
            <w:vAlign w:val="center"/>
          </w:tcPr>
          <w:p>
            <w:pPr>
              <w:spacing w:after="0"/>
            </w:pPr>
            <w:r/>
            <w:r>
              <w:rPr>
                <w:rFonts w:ascii="Aptos" w:hAnsi="Aptos"/>
                <w:b w:val="0"/>
                <w:sz w:val="17"/>
              </w:rPr>
              <w:t>₹3,498 Cr</w:t>
            </w:r>
          </w:p>
        </w:tc>
        <w:tc>
          <w:tcPr>
            <w:tcW w:type="dxa" w:w="1224"/>
            <w:vAlign w:val="center"/>
          </w:tcPr>
          <w:p>
            <w:pPr>
              <w:spacing w:after="0"/>
            </w:pPr>
            <w:r/>
            <w:r>
              <w:rPr>
                <w:rFonts w:ascii="Aptos" w:hAnsi="Aptos"/>
                <w:b w:val="0"/>
                <w:sz w:val="17"/>
              </w:rPr>
              <w:t>67.8%</w:t>
            </w:r>
          </w:p>
        </w:tc>
        <w:tc>
          <w:tcPr>
            <w:tcW w:type="dxa" w:w="1080"/>
            <w:vAlign w:val="center"/>
          </w:tcPr>
          <w:p>
            <w:pPr>
              <w:spacing w:after="0"/>
            </w:pPr>
            <w:r/>
            <w:r>
              <w:rPr>
                <w:rFonts w:ascii="Aptos" w:hAnsi="Aptos"/>
                <w:b w:val="0"/>
                <w:sz w:val="17"/>
              </w:rPr>
              <w:t>0.09x</w:t>
            </w:r>
          </w:p>
        </w:tc>
      </w:tr>
    </w:tbl>
    <w:p>
      <w:r>
        <w:rPr>
          <w:i/>
          <w:color w:val="5A5A5A"/>
          <w:sz w:val="15"/>
        </w:rPr>
        <w:t>*PAT is taken from the workbook’s FY2026 income statement/cash-flow-linked data; the presentation uses a different FY2025-26 snapshot. This difference is discussed below rather than silently reconciled.</w:t>
      </w:r>
    </w:p>
    <w:p>
      <w:pPr>
        <w:pStyle w:val="Heading2"/>
      </w:pPr>
      <w:r>
        <w:t>What the numbers indicate</w:t>
      </w:r>
    </w:p>
    <w:p>
      <w:pPr>
        <w:pStyle w:val="ListBullet"/>
      </w:pPr>
      <w:r>
        <w:t>HUL has the strongest scale: workbook revenue is ₹64,468 crore in FY2026. Its asset base and low leverage support a relatively conservative financial structure.</w:t>
      </w:r>
    </w:p>
    <w:p>
      <w:pPr>
        <w:pStyle w:val="ListBullet"/>
      </w:pPr>
      <w:r>
        <w:t>Britannia’s revenue grew from ₹14,136 crore in FY2022 to ₹18,764 crore in FY2026. Its debt-to-equity ratio fell sharply from 0.96x to 0.27x, while EBITDA margin improved overall.</w:t>
      </w:r>
    </w:p>
    <w:p>
      <w:pPr>
        <w:pStyle w:val="ListBullet"/>
      </w:pPr>
      <w:r>
        <w:t>Nestlé India has the highest FY2026 ROE in the workbook at 67.8% and the highest operating cash-flow margin at 21.8%. The ratio should be read together with the company’s relatively small equity/capital base.</w:t>
      </w:r>
    </w:p>
    <w:p>
      <w:pPr>
        <w:pStyle w:val="Heading2"/>
      </w:pPr>
      <w:r>
        <w:t>Important source difference</w:t>
      </w:r>
    </w:p>
    <w:p>
      <w:r>
        <w:rPr>
          <w:b w:val="0"/>
        </w:rPr>
        <w:t xml:space="preserve">The presentation’s FY2025-26 dashboard reports revenue of ₹61,975 crore for HUL, ₹18,446 crore for Britannia and ₹23,185 crore for Nestlé India, while the workbook reports ₹64,468 crore, ₹18,764 crore and ₹23,155 crore respectively. </w:t>
      </w:r>
      <w:r>
        <w:rPr>
          <w:b/>
        </w:rPr>
        <w:t>Because the task is to analyse both files, this report preserves the difference.</w:t>
      </w:r>
      <w:r>
        <w:t xml:space="preserve"> The presentation also highlights HUL revenue CAGR of 4.9%; the workbook’s FY2022–FY2026 revenue series implies approximately 5.3% CAGR. This is a data-definition/period consistency point to check before using the figures in a formal submission.</w:t>
      </w:r>
    </w:p>
    <w:p>
      <w:r>
        <w:br w:type="page"/>
      </w:r>
    </w:p>
    <w:p>
      <w:pPr>
        <w:pStyle w:val="Heading1"/>
      </w:pPr>
      <w:r>
        <w:t>2. Five-Year Financial Performance Analysis</w:t>
      </w:r>
    </w:p>
    <w:p>
      <w:r>
        <w:t>The workbook provides the detailed five-year ratio series, while the presentation interprets the main trends. Together they show that the three companies create value through different financial profiles rather than through one common pattern.</w:t>
      </w:r>
    </w:p>
    <w:p>
      <w:pPr>
        <w:pStyle w:val="Heading2"/>
      </w:pPr>
      <w:r>
        <w:t>Revenue growth and scale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232"/>
            <w:vAlign w:val="center"/>
            <w:shd w:fill="19305F"/>
          </w:tcPr>
          <w:p>
            <w:pPr>
              <w:spacing w:after="0"/>
            </w:pPr>
            <w:r/>
            <w:r>
              <w:rPr>
                <w:rFonts w:ascii="Aptos" w:hAnsi="Aptos"/>
                <w:b/>
                <w:color w:val="FFFFFF"/>
                <w:sz w:val="17"/>
              </w:rPr>
              <w:t>Metric</w:t>
            </w:r>
          </w:p>
        </w:tc>
        <w:tc>
          <w:tcPr>
            <w:tcW w:type="dxa" w:w="2160"/>
            <w:vAlign w:val="center"/>
            <w:shd w:fill="19305F"/>
          </w:tcPr>
          <w:p>
            <w:pPr>
              <w:spacing w:after="0"/>
            </w:pPr>
            <w:r/>
            <w:r>
              <w:rPr>
                <w:rFonts w:ascii="Aptos" w:hAnsi="Aptos"/>
                <w:b/>
                <w:color w:val="FFFFFF"/>
                <w:sz w:val="17"/>
              </w:rPr>
              <w:t>HUL</w:t>
            </w:r>
          </w:p>
        </w:tc>
        <w:tc>
          <w:tcPr>
            <w:tcW w:type="dxa" w:w="2160"/>
            <w:vAlign w:val="center"/>
            <w:shd w:fill="19305F"/>
          </w:tcPr>
          <w:p>
            <w:pPr>
              <w:spacing w:after="0"/>
            </w:pPr>
            <w:r/>
            <w:r>
              <w:rPr>
                <w:rFonts w:ascii="Aptos" w:hAnsi="Aptos"/>
                <w:b/>
                <w:color w:val="FFFFFF"/>
                <w:sz w:val="17"/>
              </w:rPr>
              <w:t>Britannia</w:t>
            </w:r>
          </w:p>
        </w:tc>
        <w:tc>
          <w:tcPr>
            <w:tcW w:type="dxa" w:w="2160"/>
            <w:vAlign w:val="center"/>
            <w:shd w:fill="19305F"/>
          </w:tcPr>
          <w:p>
            <w:pPr>
              <w:spacing w:after="0"/>
            </w:pPr>
            <w:r/>
            <w:r>
              <w:rPr>
                <w:rFonts w:ascii="Aptos" w:hAnsi="Aptos"/>
                <w:b/>
                <w:color w:val="FFFFFF"/>
                <w:sz w:val="17"/>
              </w:rPr>
              <w:t>Nestlé India</w:t>
            </w:r>
          </w:p>
        </w:tc>
      </w:tr>
      <w:tr>
        <w:tc>
          <w:tcPr>
            <w:tcW w:type="dxa" w:w="2232"/>
            <w:vAlign w:val="center"/>
          </w:tcPr>
          <w:p>
            <w:pPr>
              <w:spacing w:after="0"/>
            </w:pPr>
            <w:r/>
            <w:r>
              <w:rPr>
                <w:rFonts w:ascii="Aptos" w:hAnsi="Aptos"/>
                <w:b w:val="0"/>
                <w:sz w:val="17"/>
              </w:rPr>
              <w:t>FY2022 → FY2026 revenue</w:t>
            </w:r>
          </w:p>
        </w:tc>
        <w:tc>
          <w:tcPr>
            <w:tcW w:type="dxa" w:w="2160"/>
            <w:vAlign w:val="center"/>
          </w:tcPr>
          <w:p>
            <w:pPr>
              <w:spacing w:after="0"/>
            </w:pPr>
            <w:r/>
            <w:r>
              <w:rPr>
                <w:rFonts w:ascii="Aptos" w:hAnsi="Aptos"/>
                <w:b w:val="0"/>
                <w:sz w:val="17"/>
              </w:rPr>
              <w:t>₹52,446 → ₹64,468 Cr</w:t>
            </w:r>
          </w:p>
        </w:tc>
        <w:tc>
          <w:tcPr>
            <w:tcW w:type="dxa" w:w="2160"/>
            <w:vAlign w:val="center"/>
          </w:tcPr>
          <w:p>
            <w:pPr>
              <w:spacing w:after="0"/>
            </w:pPr>
            <w:r/>
            <w:r>
              <w:rPr>
                <w:rFonts w:ascii="Aptos" w:hAnsi="Aptos"/>
                <w:b w:val="0"/>
                <w:sz w:val="17"/>
              </w:rPr>
              <w:t>₹14,136 → ₹18,764 Cr</w:t>
            </w:r>
          </w:p>
        </w:tc>
        <w:tc>
          <w:tcPr>
            <w:tcW w:type="dxa" w:w="2160"/>
            <w:vAlign w:val="center"/>
          </w:tcPr>
          <w:p>
            <w:pPr>
              <w:spacing w:after="0"/>
            </w:pPr>
            <w:r/>
            <w:r>
              <w:rPr>
                <w:rFonts w:ascii="Aptos" w:hAnsi="Aptos"/>
                <w:b w:val="0"/>
                <w:sz w:val="17"/>
              </w:rPr>
              <w:t>₹14,741 → ₹23,155 Cr</w:t>
            </w:r>
          </w:p>
        </w:tc>
      </w:tr>
      <w:tr>
        <w:tc>
          <w:tcPr>
            <w:tcW w:type="dxa" w:w="2232"/>
            <w:vAlign w:val="center"/>
            <w:shd w:fill="F4F6F9"/>
          </w:tcPr>
          <w:p>
            <w:pPr>
              <w:spacing w:after="0"/>
            </w:pPr>
            <w:r/>
            <w:r>
              <w:rPr>
                <w:rFonts w:ascii="Aptos" w:hAnsi="Aptos"/>
                <w:b w:val="0"/>
                <w:sz w:val="17"/>
              </w:rPr>
              <w:t>Approx. 4-year CAGR*</w:t>
            </w:r>
          </w:p>
        </w:tc>
        <w:tc>
          <w:tcPr>
            <w:tcW w:type="dxa" w:w="2160"/>
            <w:vAlign w:val="center"/>
            <w:shd w:fill="F4F6F9"/>
          </w:tcPr>
          <w:p>
            <w:pPr>
              <w:spacing w:after="0"/>
            </w:pPr>
            <w:r/>
            <w:r>
              <w:rPr>
                <w:rFonts w:ascii="Aptos" w:hAnsi="Aptos"/>
                <w:b w:val="0"/>
                <w:sz w:val="17"/>
              </w:rPr>
              <w:t>5.3%</w:t>
            </w:r>
          </w:p>
        </w:tc>
        <w:tc>
          <w:tcPr>
            <w:tcW w:type="dxa" w:w="2160"/>
            <w:vAlign w:val="center"/>
            <w:shd w:fill="F4F6F9"/>
          </w:tcPr>
          <w:p>
            <w:pPr>
              <w:spacing w:after="0"/>
            </w:pPr>
            <w:r/>
            <w:r>
              <w:rPr>
                <w:rFonts w:ascii="Aptos" w:hAnsi="Aptos"/>
                <w:b w:val="0"/>
                <w:sz w:val="17"/>
              </w:rPr>
              <w:t>7.3%</w:t>
            </w:r>
          </w:p>
        </w:tc>
        <w:tc>
          <w:tcPr>
            <w:tcW w:type="dxa" w:w="2160"/>
            <w:vAlign w:val="center"/>
            <w:shd w:fill="F4F6F9"/>
          </w:tcPr>
          <w:p>
            <w:pPr>
              <w:spacing w:after="0"/>
            </w:pPr>
            <w:r/>
            <w:r>
              <w:rPr>
                <w:rFonts w:ascii="Aptos" w:hAnsi="Aptos"/>
                <w:b w:val="0"/>
                <w:sz w:val="17"/>
              </w:rPr>
              <w:t>12.0%</w:t>
            </w:r>
          </w:p>
        </w:tc>
      </w:tr>
      <w:tr>
        <w:tc>
          <w:tcPr>
            <w:tcW w:type="dxa" w:w="2232"/>
            <w:vAlign w:val="center"/>
          </w:tcPr>
          <w:p>
            <w:pPr>
              <w:spacing w:after="0"/>
            </w:pPr>
            <w:r/>
            <w:r>
              <w:rPr>
                <w:rFonts w:ascii="Aptos" w:hAnsi="Aptos"/>
                <w:b w:val="0"/>
                <w:sz w:val="17"/>
              </w:rPr>
              <w:t>FY2026 YoY growth</w:t>
            </w:r>
          </w:p>
        </w:tc>
        <w:tc>
          <w:tcPr>
            <w:tcW w:type="dxa" w:w="2160"/>
            <w:vAlign w:val="center"/>
          </w:tcPr>
          <w:p>
            <w:pPr>
              <w:spacing w:after="0"/>
            </w:pPr>
            <w:r/>
            <w:r>
              <w:rPr>
                <w:rFonts w:ascii="Aptos" w:hAnsi="Aptos"/>
                <w:b w:val="0"/>
                <w:sz w:val="17"/>
              </w:rPr>
              <w:t>5.1%</w:t>
            </w:r>
          </w:p>
        </w:tc>
        <w:tc>
          <w:tcPr>
            <w:tcW w:type="dxa" w:w="2160"/>
            <w:vAlign w:val="center"/>
          </w:tcPr>
          <w:p>
            <w:pPr>
              <w:spacing w:after="0"/>
            </w:pPr>
            <w:r/>
            <w:r>
              <w:rPr>
                <w:rFonts w:ascii="Aptos" w:hAnsi="Aptos"/>
                <w:b w:val="0"/>
                <w:sz w:val="17"/>
              </w:rPr>
              <w:t>4.6%</w:t>
            </w:r>
          </w:p>
        </w:tc>
        <w:tc>
          <w:tcPr>
            <w:tcW w:type="dxa" w:w="2160"/>
            <w:vAlign w:val="center"/>
          </w:tcPr>
          <w:p>
            <w:pPr>
              <w:spacing w:after="0"/>
            </w:pPr>
            <w:r/>
            <w:r>
              <w:rPr>
                <w:rFonts w:ascii="Aptos" w:hAnsi="Aptos"/>
                <w:b w:val="0"/>
                <w:sz w:val="17"/>
              </w:rPr>
              <w:t>14.6%</w:t>
            </w:r>
          </w:p>
        </w:tc>
      </w:tr>
    </w:tbl>
    <w:p>
      <w:r>
        <w:rPr>
          <w:i/>
          <w:color w:val="5A5A5A"/>
          <w:sz w:val="15"/>
        </w:rPr>
        <w:t>*Calculated from the workbook’s revenue series. The presentation separately states HUL’s five-year growth lens as 4.9%.</w:t>
      </w:r>
    </w:p>
    <w:p>
      <w:r>
        <w:rPr>
          <w:b/>
        </w:rPr>
        <w:t xml:space="preserve">Interpretation: </w:t>
      </w:r>
      <w:r>
        <w:t>HUL remains the scale leader, but its revenue expansion is more moderate. Britannia grows steadily from a smaller base. Nestlé India shows the highest growth in the workbook, although the presentation specifically warns that its 15-month transition year affects strict year-on-year comparability.</w:t>
      </w:r>
    </w:p>
    <w:p>
      <w:pPr>
        <w:pStyle w:val="Heading2"/>
      </w:pPr>
      <w:r>
        <w:t>Profitability and return profile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20"/>
            <w:vAlign w:val="center"/>
            <w:shd w:fill="19305F"/>
          </w:tcPr>
          <w:p>
            <w:pPr>
              <w:spacing w:after="0"/>
            </w:pPr>
            <w:r/>
            <w:r>
              <w:rPr>
                <w:rFonts w:ascii="Aptos" w:hAnsi="Aptos"/>
                <w:b/>
                <w:color w:val="FFFFFF"/>
                <w:sz w:val="17"/>
              </w:rPr>
              <w:t>FY2026 ratio</w:t>
            </w:r>
          </w:p>
        </w:tc>
        <w:tc>
          <w:tcPr>
            <w:tcW w:type="dxa" w:w="1872"/>
            <w:vAlign w:val="center"/>
            <w:shd w:fill="19305F"/>
          </w:tcPr>
          <w:p>
            <w:pPr>
              <w:spacing w:after="0"/>
            </w:pPr>
            <w:r/>
            <w:r>
              <w:rPr>
                <w:rFonts w:ascii="Aptos" w:hAnsi="Aptos"/>
                <w:b/>
                <w:color w:val="FFFFFF"/>
                <w:sz w:val="17"/>
              </w:rPr>
              <w:t>HUL</w:t>
            </w:r>
          </w:p>
        </w:tc>
        <w:tc>
          <w:tcPr>
            <w:tcW w:type="dxa" w:w="1872"/>
            <w:vAlign w:val="center"/>
            <w:shd w:fill="19305F"/>
          </w:tcPr>
          <w:p>
            <w:pPr>
              <w:spacing w:after="0"/>
            </w:pPr>
            <w:r/>
            <w:r>
              <w:rPr>
                <w:rFonts w:ascii="Aptos" w:hAnsi="Aptos"/>
                <w:b/>
                <w:color w:val="FFFFFF"/>
                <w:sz w:val="17"/>
              </w:rPr>
              <w:t>Britannia</w:t>
            </w:r>
          </w:p>
        </w:tc>
        <w:tc>
          <w:tcPr>
            <w:tcW w:type="dxa" w:w="1872"/>
            <w:vAlign w:val="center"/>
            <w:shd w:fill="19305F"/>
          </w:tcPr>
          <w:p>
            <w:pPr>
              <w:spacing w:after="0"/>
            </w:pPr>
            <w:r/>
            <w:r>
              <w:rPr>
                <w:rFonts w:ascii="Aptos" w:hAnsi="Aptos"/>
                <w:b/>
                <w:color w:val="FFFFFF"/>
                <w:sz w:val="17"/>
              </w:rPr>
              <w:t>Nestlé India</w:t>
            </w:r>
          </w:p>
        </w:tc>
      </w:tr>
      <w:tr>
        <w:tc>
          <w:tcPr>
            <w:tcW w:type="dxa" w:w="2520"/>
            <w:vAlign w:val="center"/>
          </w:tcPr>
          <w:p>
            <w:pPr>
              <w:spacing w:after="0"/>
            </w:pPr>
            <w:r/>
            <w:r>
              <w:rPr>
                <w:rFonts w:ascii="Aptos" w:hAnsi="Aptos"/>
                <w:b w:val="0"/>
                <w:sz w:val="17"/>
              </w:rPr>
              <w:t>EBITDA margin</w:t>
            </w:r>
          </w:p>
        </w:tc>
        <w:tc>
          <w:tcPr>
            <w:tcW w:type="dxa" w:w="1872"/>
            <w:vAlign w:val="center"/>
          </w:tcPr>
          <w:p>
            <w:pPr>
              <w:spacing w:after="0"/>
            </w:pPr>
            <w:r/>
            <w:r>
              <w:rPr>
                <w:rFonts w:ascii="Aptos" w:hAnsi="Aptos"/>
                <w:b w:val="0"/>
                <w:sz w:val="17"/>
              </w:rPr>
              <w:t>22.6%</w:t>
            </w:r>
          </w:p>
        </w:tc>
        <w:tc>
          <w:tcPr>
            <w:tcW w:type="dxa" w:w="1872"/>
            <w:vAlign w:val="center"/>
          </w:tcPr>
          <w:p>
            <w:pPr>
              <w:spacing w:after="0"/>
            </w:pPr>
            <w:r/>
            <w:r>
              <w:rPr>
                <w:rFonts w:ascii="Aptos" w:hAnsi="Aptos"/>
                <w:b w:val="0"/>
                <w:sz w:val="17"/>
              </w:rPr>
              <w:t>19.8%</w:t>
            </w:r>
          </w:p>
        </w:tc>
        <w:tc>
          <w:tcPr>
            <w:tcW w:type="dxa" w:w="1872"/>
            <w:vAlign w:val="center"/>
          </w:tcPr>
          <w:p>
            <w:pPr>
              <w:spacing w:after="0"/>
            </w:pPr>
            <w:r/>
            <w:r>
              <w:rPr>
                <w:rFonts w:ascii="Aptos" w:hAnsi="Aptos"/>
                <w:b w:val="0"/>
                <w:sz w:val="17"/>
              </w:rPr>
              <w:t>23.4%</w:t>
            </w:r>
          </w:p>
        </w:tc>
      </w:tr>
      <w:tr>
        <w:tc>
          <w:tcPr>
            <w:tcW w:type="dxa" w:w="2520"/>
            <w:vAlign w:val="center"/>
            <w:shd w:fill="F4F6F9"/>
          </w:tcPr>
          <w:p>
            <w:pPr>
              <w:spacing w:after="0"/>
            </w:pPr>
            <w:r/>
            <w:r>
              <w:rPr>
                <w:rFonts w:ascii="Aptos" w:hAnsi="Aptos"/>
                <w:b w:val="0"/>
                <w:sz w:val="17"/>
              </w:rPr>
              <w:t>EBIT margin</w:t>
            </w:r>
          </w:p>
        </w:tc>
        <w:tc>
          <w:tcPr>
            <w:tcW w:type="dxa" w:w="1872"/>
            <w:vAlign w:val="center"/>
            <w:shd w:fill="F4F6F9"/>
          </w:tcPr>
          <w:p>
            <w:pPr>
              <w:spacing w:after="0"/>
            </w:pPr>
            <w:r/>
            <w:r>
              <w:rPr>
                <w:rFonts w:ascii="Aptos" w:hAnsi="Aptos"/>
                <w:b w:val="0"/>
                <w:sz w:val="17"/>
              </w:rPr>
              <w:t>21.2%</w:t>
            </w:r>
          </w:p>
        </w:tc>
        <w:tc>
          <w:tcPr>
            <w:tcW w:type="dxa" w:w="1872"/>
            <w:vAlign w:val="center"/>
            <w:shd w:fill="F4F6F9"/>
          </w:tcPr>
          <w:p>
            <w:pPr>
              <w:spacing w:after="0"/>
            </w:pPr>
            <w:r/>
            <w:r>
              <w:rPr>
                <w:rFonts w:ascii="Aptos" w:hAnsi="Aptos"/>
                <w:b w:val="0"/>
                <w:sz w:val="17"/>
              </w:rPr>
              <w:t>17.9%</w:t>
            </w:r>
          </w:p>
        </w:tc>
        <w:tc>
          <w:tcPr>
            <w:tcW w:type="dxa" w:w="1872"/>
            <w:vAlign w:val="center"/>
            <w:shd w:fill="F4F6F9"/>
          </w:tcPr>
          <w:p>
            <w:pPr>
              <w:spacing w:after="0"/>
            </w:pPr>
            <w:r/>
            <w:r>
              <w:rPr>
                <w:rFonts w:ascii="Aptos" w:hAnsi="Aptos"/>
                <w:b w:val="0"/>
                <w:sz w:val="17"/>
              </w:rPr>
              <w:t>19.7%</w:t>
            </w:r>
          </w:p>
        </w:tc>
      </w:tr>
      <w:tr>
        <w:tc>
          <w:tcPr>
            <w:tcW w:type="dxa" w:w="2520"/>
            <w:vAlign w:val="center"/>
          </w:tcPr>
          <w:p>
            <w:pPr>
              <w:spacing w:after="0"/>
            </w:pPr>
            <w:r/>
            <w:r>
              <w:rPr>
                <w:rFonts w:ascii="Aptos" w:hAnsi="Aptos"/>
                <w:b w:val="0"/>
                <w:sz w:val="17"/>
              </w:rPr>
              <w:t>Net profit margin</w:t>
            </w:r>
          </w:p>
        </w:tc>
        <w:tc>
          <w:tcPr>
            <w:tcW w:type="dxa" w:w="1872"/>
            <w:vAlign w:val="center"/>
          </w:tcPr>
          <w:p>
            <w:pPr>
              <w:spacing w:after="0"/>
            </w:pPr>
            <w:r/>
            <w:r>
              <w:rPr>
                <w:rFonts w:ascii="Aptos" w:hAnsi="Aptos"/>
                <w:b w:val="0"/>
                <w:sz w:val="17"/>
              </w:rPr>
              <w:t>23.3%</w:t>
            </w:r>
          </w:p>
        </w:tc>
        <w:tc>
          <w:tcPr>
            <w:tcW w:type="dxa" w:w="1872"/>
            <w:vAlign w:val="center"/>
          </w:tcPr>
          <w:p>
            <w:pPr>
              <w:spacing w:after="0"/>
            </w:pPr>
            <w:r/>
            <w:r>
              <w:rPr>
                <w:rFonts w:ascii="Aptos" w:hAnsi="Aptos"/>
                <w:b w:val="0"/>
                <w:sz w:val="17"/>
              </w:rPr>
              <w:t>13.7%</w:t>
            </w:r>
          </w:p>
        </w:tc>
        <w:tc>
          <w:tcPr>
            <w:tcW w:type="dxa" w:w="1872"/>
            <w:vAlign w:val="center"/>
          </w:tcPr>
          <w:p>
            <w:pPr>
              <w:spacing w:after="0"/>
            </w:pPr>
            <w:r/>
            <w:r>
              <w:rPr>
                <w:rFonts w:ascii="Aptos" w:hAnsi="Aptos"/>
                <w:b w:val="0"/>
                <w:sz w:val="17"/>
              </w:rPr>
              <w:t>15.1%</w:t>
            </w:r>
          </w:p>
        </w:tc>
      </w:tr>
      <w:tr>
        <w:tc>
          <w:tcPr>
            <w:tcW w:type="dxa" w:w="2520"/>
            <w:vAlign w:val="center"/>
            <w:shd w:fill="F4F6F9"/>
          </w:tcPr>
          <w:p>
            <w:pPr>
              <w:spacing w:after="0"/>
            </w:pPr>
            <w:r/>
            <w:r>
              <w:rPr>
                <w:rFonts w:ascii="Aptos" w:hAnsi="Aptos"/>
                <w:b w:val="0"/>
                <w:sz w:val="17"/>
              </w:rPr>
              <w:t>ROE</w:t>
            </w:r>
          </w:p>
        </w:tc>
        <w:tc>
          <w:tcPr>
            <w:tcW w:type="dxa" w:w="1872"/>
            <w:vAlign w:val="center"/>
            <w:shd w:fill="F4F6F9"/>
          </w:tcPr>
          <w:p>
            <w:pPr>
              <w:spacing w:after="0"/>
            </w:pPr>
            <w:r/>
            <w:r>
              <w:rPr>
                <w:rFonts w:ascii="Aptos" w:hAnsi="Aptos"/>
                <w:b w:val="0"/>
                <w:sz w:val="17"/>
              </w:rPr>
              <w:t>30.7%</w:t>
            </w:r>
          </w:p>
        </w:tc>
        <w:tc>
          <w:tcPr>
            <w:tcW w:type="dxa" w:w="1872"/>
            <w:vAlign w:val="center"/>
            <w:shd w:fill="F4F6F9"/>
          </w:tcPr>
          <w:p>
            <w:pPr>
              <w:spacing w:after="0"/>
            </w:pPr>
            <w:r/>
            <w:r>
              <w:rPr>
                <w:rFonts w:ascii="Aptos" w:hAnsi="Aptos"/>
                <w:b w:val="0"/>
                <w:sz w:val="17"/>
              </w:rPr>
              <w:t>50.2%</w:t>
            </w:r>
          </w:p>
        </w:tc>
        <w:tc>
          <w:tcPr>
            <w:tcW w:type="dxa" w:w="1872"/>
            <w:vAlign w:val="center"/>
            <w:shd w:fill="F4F6F9"/>
          </w:tcPr>
          <w:p>
            <w:pPr>
              <w:spacing w:after="0"/>
            </w:pPr>
            <w:r/>
            <w:r>
              <w:rPr>
                <w:rFonts w:ascii="Aptos" w:hAnsi="Aptos"/>
                <w:b w:val="0"/>
                <w:sz w:val="17"/>
              </w:rPr>
              <w:t>67.8%</w:t>
            </w:r>
          </w:p>
        </w:tc>
      </w:tr>
      <w:tr>
        <w:tc>
          <w:tcPr>
            <w:tcW w:type="dxa" w:w="2520"/>
            <w:vAlign w:val="center"/>
          </w:tcPr>
          <w:p>
            <w:pPr>
              <w:spacing w:after="0"/>
            </w:pPr>
            <w:r/>
            <w:r>
              <w:rPr>
                <w:rFonts w:ascii="Aptos" w:hAnsi="Aptos"/>
                <w:b w:val="0"/>
                <w:sz w:val="17"/>
              </w:rPr>
              <w:t>ROA</w:t>
            </w:r>
          </w:p>
        </w:tc>
        <w:tc>
          <w:tcPr>
            <w:tcW w:type="dxa" w:w="1872"/>
            <w:vAlign w:val="center"/>
          </w:tcPr>
          <w:p>
            <w:pPr>
              <w:spacing w:after="0"/>
            </w:pPr>
            <w:r/>
            <w:r>
              <w:rPr>
                <w:rFonts w:ascii="Aptos" w:hAnsi="Aptos"/>
                <w:b w:val="0"/>
                <w:sz w:val="17"/>
              </w:rPr>
              <w:t>18.9%</w:t>
            </w:r>
          </w:p>
        </w:tc>
        <w:tc>
          <w:tcPr>
            <w:tcW w:type="dxa" w:w="1872"/>
            <w:vAlign w:val="center"/>
          </w:tcPr>
          <w:p>
            <w:pPr>
              <w:spacing w:after="0"/>
            </w:pPr>
            <w:r/>
            <w:r>
              <w:rPr>
                <w:rFonts w:ascii="Aptos" w:hAnsi="Aptos"/>
                <w:b w:val="0"/>
                <w:sz w:val="17"/>
              </w:rPr>
              <w:t>26.4%</w:t>
            </w:r>
          </w:p>
        </w:tc>
        <w:tc>
          <w:tcPr>
            <w:tcW w:type="dxa" w:w="1872"/>
            <w:vAlign w:val="center"/>
          </w:tcPr>
          <w:p>
            <w:pPr>
              <w:spacing w:after="0"/>
            </w:pPr>
            <w:r/>
            <w:r>
              <w:rPr>
                <w:rFonts w:ascii="Aptos" w:hAnsi="Aptos"/>
                <w:b w:val="0"/>
                <w:sz w:val="17"/>
              </w:rPr>
              <w:t>26.5%</w:t>
            </w:r>
          </w:p>
        </w:tc>
      </w:tr>
    </w:tbl>
    <w:p>
      <w:r>
        <w:rPr>
          <w:b/>
        </w:rPr>
        <w:t xml:space="preserve">The presentation’s FY2025-26 margin snapshot is slightly different: </w:t>
      </w:r>
      <w:r>
        <w:t>HUL EBITDA 23.4%, Britannia 16.7% and Nestlé 22.9%, with ROE of 29.4%, 47.9% and 70.2% respectively. The broad interpretation remains similar, but the exact values should not be mixed across files without checking the reporting period and source calculations.</w:t>
      </w:r>
    </w:p>
    <w:p>
      <w:pPr>
        <w:pStyle w:val="Heading2"/>
      </w:pPr>
      <w:r>
        <w:t>Operating efficiency and cash generation</w:t>
      </w:r>
    </w:p>
    <w:p>
      <w:pPr>
        <w:pStyle w:val="ListBullet"/>
      </w:pPr>
      <w:r>
        <w:t>Britannia has the highest FY2026 asset turnover in the workbook at 1.94x, indicating a high level of revenue generated relative to its asset base. The presentation also describes Britannia as having the highest inventory-turnover profile.</w:t>
      </w:r>
    </w:p>
    <w:p>
      <w:pPr>
        <w:pStyle w:val="ListBullet"/>
      </w:pPr>
      <w:r>
        <w:t>Nestlé India’s operating cash-flow margin rises from 14.5% in FY2025 to 21.8% in FY2026, the strongest current-year cash conversion among the three.</w:t>
      </w:r>
    </w:p>
    <w:p>
      <w:pPr>
        <w:pStyle w:val="ListBullet"/>
      </w:pPr>
      <w:r>
        <w:t>HUL’s operating cash-flow margin falls from 19.4% to 17.1% in FY2026. The Red Flags sheet classifies this as a watch item because the year-on-year decline exceeds its screening threshold, not because the margin is below 10%.</w:t>
      </w:r>
    </w:p>
    <w:p>
      <w:pPr>
        <w:pStyle w:val="Heading2"/>
      </w:pPr>
      <w:r>
        <w:t>Leverage</w:t>
      </w:r>
    </w:p>
    <w:p>
      <w:r>
        <w:rPr>
          <w:b/>
        </w:rPr>
        <w:t xml:space="preserve">The most visible five-year balance-sheet change is Britannia’s deleveraging: </w:t>
      </w:r>
      <w:r>
        <w:t>D/E moves from 0.96x in FY2022 to 0.27x in FY2026. HUL stays extremely low at around 0.02x, while Nestlé ends FY2026 at 0.09x after a temporary rise in FY2025. Interest coverage is very high for all three in FY2026, suggesting that the workbook’s current-period figures do not indicate pressure from interest servicing.</w:t>
      </w:r>
    </w:p>
    <w:p>
      <w:r>
        <w:br w:type="page"/>
      </w:r>
    </w:p>
    <w:p>
      <w:pPr>
        <w:pStyle w:val="Heading1"/>
      </w:pPr>
      <w:r>
        <w:t>3. Red Flags, Risk Interpretation &amp; Conclusion</w:t>
      </w:r>
    </w:p>
    <w:p>
      <w:pPr>
        <w:pStyle w:val="Heading2"/>
      </w:pPr>
      <w:r>
        <w:t>Rule-based red-flag analysis</w:t>
      </w:r>
    </w:p>
    <w:p>
      <w:r>
        <w:rPr>
          <w:b w:val="0"/>
        </w:rPr>
        <w:t xml:space="preserve">The Red Flags worksheet explicitly states that its flags are </w:t>
      </w:r>
      <w:r>
        <w:rPr>
          <w:b/>
        </w:rPr>
        <w:t>areas for investigation, not proof of financial problems</w:t>
      </w:r>
      <w:r>
        <w:t>. This distinction is important. A company can trigger a historical screening rule while having a healthy current-year ratio.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center"/>
            <w:shd w:fill="19305F"/>
          </w:tcPr>
          <w:p>
            <w:pPr>
              <w:spacing w:after="0"/>
            </w:pPr>
            <w:r/>
            <w:r>
              <w:rPr>
                <w:rFonts w:ascii="Aptos" w:hAnsi="Aptos"/>
                <w:b/>
                <w:color w:val="FFFFFF"/>
                <w:sz w:val="17"/>
              </w:rPr>
              <w:t>Company</w:t>
            </w:r>
          </w:p>
        </w:tc>
        <w:tc>
          <w:tcPr>
            <w:tcW w:type="dxa" w:w="1800"/>
            <w:vAlign w:val="center"/>
            <w:shd w:fill="19305F"/>
          </w:tcPr>
          <w:p>
            <w:pPr>
              <w:spacing w:after="0"/>
            </w:pPr>
            <w:r/>
            <w:r>
              <w:rPr>
                <w:rFonts w:ascii="Aptos" w:hAnsi="Aptos"/>
                <w:b/>
                <w:color w:val="FFFFFF"/>
                <w:sz w:val="17"/>
              </w:rPr>
              <w:t>FY2026 Red Flags</w:t>
            </w:r>
          </w:p>
        </w:tc>
        <w:tc>
          <w:tcPr>
            <w:tcW w:type="dxa" w:w="1944"/>
            <w:vAlign w:val="center"/>
            <w:shd w:fill="19305F"/>
          </w:tcPr>
          <w:p>
            <w:pPr>
              <w:spacing w:after="0"/>
            </w:pPr>
            <w:r/>
            <w:r>
              <w:rPr>
                <w:rFonts w:ascii="Aptos" w:hAnsi="Aptos"/>
                <w:b/>
                <w:color w:val="FFFFFF"/>
                <w:sz w:val="17"/>
              </w:rPr>
              <w:t>FY2026 Watch Items</w:t>
            </w:r>
          </w:p>
        </w:tc>
        <w:tc>
          <w:tcPr>
            <w:tcW w:type="dxa" w:w="3888"/>
            <w:vAlign w:val="center"/>
            <w:shd w:fill="19305F"/>
          </w:tcPr>
          <w:p>
            <w:pPr>
              <w:spacing w:after="0"/>
            </w:pPr>
            <w:r/>
            <w:r>
              <w:rPr>
                <w:rFonts w:ascii="Aptos" w:hAnsi="Aptos"/>
                <w:b/>
                <w:color w:val="FFFFFF"/>
                <w:sz w:val="17"/>
              </w:rPr>
              <w:t>Historical screen</w:t>
            </w:r>
          </w:p>
        </w:tc>
      </w:tr>
      <w:tr>
        <w:tc>
          <w:tcPr>
            <w:tcW w:type="dxa" w:w="2016"/>
            <w:vAlign w:val="center"/>
          </w:tcPr>
          <w:p>
            <w:pPr>
              <w:spacing w:after="0"/>
            </w:pPr>
            <w:r/>
            <w:r>
              <w:rPr>
                <w:rFonts w:ascii="Aptos" w:hAnsi="Aptos"/>
                <w:b w:val="0"/>
                <w:sz w:val="17"/>
              </w:rPr>
              <w:t>HUL</w:t>
            </w:r>
          </w:p>
        </w:tc>
        <w:tc>
          <w:tcPr>
            <w:tcW w:type="dxa" w:w="1800"/>
            <w:vAlign w:val="center"/>
          </w:tcPr>
          <w:p>
            <w:pPr>
              <w:spacing w:after="0"/>
            </w:pPr>
            <w:r/>
            <w:r>
              <w:rPr>
                <w:rFonts w:ascii="Aptos" w:hAnsi="Aptos"/>
                <w:b w:val="0"/>
                <w:sz w:val="17"/>
              </w:rPr>
              <w:t>0</w:t>
            </w:r>
          </w:p>
        </w:tc>
        <w:tc>
          <w:tcPr>
            <w:tcW w:type="dxa" w:w="1944"/>
            <w:vAlign w:val="center"/>
          </w:tcPr>
          <w:p>
            <w:pPr>
              <w:spacing w:after="0"/>
            </w:pPr>
            <w:r/>
            <w:r>
              <w:rPr>
                <w:rFonts w:ascii="Aptos" w:hAnsi="Aptos"/>
                <w:b w:val="0"/>
                <w:sz w:val="17"/>
              </w:rPr>
              <w:t>3</w:t>
            </w:r>
          </w:p>
        </w:tc>
        <w:tc>
          <w:tcPr>
            <w:tcW w:type="dxa" w:w="3888"/>
            <w:vAlign w:val="center"/>
          </w:tcPr>
          <w:p>
            <w:pPr>
              <w:spacing w:after="0"/>
            </w:pPr>
            <w:r/>
            <w:r>
              <w:rPr>
                <w:rFonts w:ascii="Aptos" w:hAnsi="Aptos"/>
                <w:b w:val="0"/>
                <w:sz w:val="17"/>
              </w:rPr>
              <w:t>Historical flags on D/E/OCF/interest-coverage tests</w:t>
            </w:r>
          </w:p>
        </w:tc>
      </w:tr>
      <w:tr>
        <w:tc>
          <w:tcPr>
            <w:tcW w:type="dxa" w:w="2016"/>
            <w:vAlign w:val="center"/>
            <w:shd w:fill="F4F6F9"/>
          </w:tcPr>
          <w:p>
            <w:pPr>
              <w:spacing w:after="0"/>
            </w:pPr>
            <w:r/>
            <w:r>
              <w:rPr>
                <w:rFonts w:ascii="Aptos" w:hAnsi="Aptos"/>
                <w:b w:val="0"/>
                <w:sz w:val="17"/>
              </w:rPr>
              <w:t>Britannia</w:t>
            </w:r>
          </w:p>
        </w:tc>
        <w:tc>
          <w:tcPr>
            <w:tcW w:type="dxa" w:w="1800"/>
            <w:vAlign w:val="center"/>
            <w:shd w:fill="F4F6F9"/>
          </w:tcPr>
          <w:p>
            <w:pPr>
              <w:spacing w:after="0"/>
            </w:pPr>
            <w:r/>
            <w:r>
              <w:rPr>
                <w:rFonts w:ascii="Aptos" w:hAnsi="Aptos"/>
                <w:b w:val="0"/>
                <w:sz w:val="17"/>
              </w:rPr>
              <w:t>0</w:t>
            </w:r>
          </w:p>
        </w:tc>
        <w:tc>
          <w:tcPr>
            <w:tcW w:type="dxa" w:w="1944"/>
            <w:vAlign w:val="center"/>
            <w:shd w:fill="F4F6F9"/>
          </w:tcPr>
          <w:p>
            <w:pPr>
              <w:spacing w:after="0"/>
            </w:pPr>
            <w:r/>
            <w:r>
              <w:rPr>
                <w:rFonts w:ascii="Aptos" w:hAnsi="Aptos"/>
                <w:b w:val="0"/>
                <w:sz w:val="17"/>
              </w:rPr>
              <w:t>2</w:t>
            </w:r>
          </w:p>
        </w:tc>
        <w:tc>
          <w:tcPr>
            <w:tcW w:type="dxa" w:w="3888"/>
            <w:vAlign w:val="center"/>
            <w:shd w:fill="F4F6F9"/>
          </w:tcPr>
          <w:p>
            <w:pPr>
              <w:spacing w:after="0"/>
            </w:pPr>
            <w:r/>
            <w:r>
              <w:rPr>
                <w:rFonts w:ascii="Aptos" w:hAnsi="Aptos"/>
                <w:b w:val="0"/>
                <w:sz w:val="17"/>
              </w:rPr>
              <w:t>Historical flags on D/E/OCF/interest-coverage tests</w:t>
            </w:r>
          </w:p>
        </w:tc>
      </w:tr>
      <w:tr>
        <w:tc>
          <w:tcPr>
            <w:tcW w:type="dxa" w:w="2016"/>
            <w:vAlign w:val="center"/>
          </w:tcPr>
          <w:p>
            <w:pPr>
              <w:spacing w:after="0"/>
            </w:pPr>
            <w:r/>
            <w:r>
              <w:rPr>
                <w:rFonts w:ascii="Aptos" w:hAnsi="Aptos"/>
                <w:b w:val="0"/>
                <w:sz w:val="17"/>
              </w:rPr>
              <w:t>Nestlé India</w:t>
            </w:r>
          </w:p>
        </w:tc>
        <w:tc>
          <w:tcPr>
            <w:tcW w:type="dxa" w:w="1800"/>
            <w:vAlign w:val="center"/>
          </w:tcPr>
          <w:p>
            <w:pPr>
              <w:spacing w:after="0"/>
            </w:pPr>
            <w:r/>
            <w:r>
              <w:rPr>
                <w:rFonts w:ascii="Aptos" w:hAnsi="Aptos"/>
                <w:b w:val="0"/>
                <w:sz w:val="17"/>
              </w:rPr>
              <w:t>0</w:t>
            </w:r>
          </w:p>
        </w:tc>
        <w:tc>
          <w:tcPr>
            <w:tcW w:type="dxa" w:w="1944"/>
            <w:vAlign w:val="center"/>
          </w:tcPr>
          <w:p>
            <w:pPr>
              <w:spacing w:after="0"/>
            </w:pPr>
            <w:r/>
            <w:r>
              <w:rPr>
                <w:rFonts w:ascii="Aptos" w:hAnsi="Aptos"/>
                <w:b w:val="0"/>
                <w:sz w:val="17"/>
              </w:rPr>
              <w:t>4</w:t>
            </w:r>
          </w:p>
        </w:tc>
        <w:tc>
          <w:tcPr>
            <w:tcW w:type="dxa" w:w="3888"/>
            <w:vAlign w:val="center"/>
          </w:tcPr>
          <w:p>
            <w:pPr>
              <w:spacing w:after="0"/>
            </w:pPr>
            <w:r/>
            <w:r>
              <w:rPr>
                <w:rFonts w:ascii="Aptos" w:hAnsi="Aptos"/>
                <w:b w:val="0"/>
                <w:sz w:val="17"/>
              </w:rPr>
              <w:t>Historical flags on D/E/OCF/interest-coverage tests</w:t>
            </w:r>
          </w:p>
        </w:tc>
      </w:tr>
    </w:tbl>
    <w:p>
      <w:pPr>
        <w:pStyle w:val="Heading2"/>
      </w:pPr>
      <w:r>
        <w:t>Company-wise interpretation</w:t>
      </w:r>
    </w:p>
    <w:p>
      <w:r>
        <w:rPr>
          <w:b/>
        </w:rPr>
        <w:t xml:space="preserve">HUL — </w:t>
      </w:r>
      <w:r>
        <w:t>The main current watch points are the fall in EBITDA margin, fall in operating margin and decline in operating-cash-flow margin. At the same time, FY2026 D/E is only 0.02x and interest coverage is about 41x. The workbook therefore presents a low-leverage profile with some profitability/cash-flow movements worth monitoring.</w:t>
      </w:r>
    </w:p>
    <w:p>
      <w:r>
        <w:rPr>
          <w:b/>
        </w:rPr>
        <w:t xml:space="preserve">Britannia — </w:t>
      </w:r>
      <w:r>
        <w:t>The current-year screen shows no red flags and only two watch items, including the asset-turnover movement and the high ROE threshold. More importantly, the five-year pattern shows a large reduction in leverage and an overall improvement in EBITDA margin from 17.1% in FY2022 to 19.8% in FY2026.</w:t>
      </w:r>
    </w:p>
    <w:p>
      <w:r>
        <w:rPr>
          <w:b/>
        </w:rPr>
        <w:t xml:space="preserve">Nestlé India — </w:t>
      </w:r>
      <w:r>
        <w:t>The workbook shows four FY2026 watch items, mainly linked to year-on-year margin movements and the unusually high ROE threshold. However, its operating-cash-flow margin improves strongly to 21.8%, D/E falls to 0.09x, and asset turnover improves from FY2025. The presentation similarly cautions that high ROE should be considered alongside the capital/equity base.</w:t>
      </w:r>
    </w:p>
    <w:p>
      <w:pPr>
        <w:pStyle w:val="Heading2"/>
      </w:pPr>
      <w:r>
        <w:t>Overall financial reading</w:t>
      </w:r>
    </w:p>
    <w:tbl>
      <w:tblPr>
        <w:tblStyle w:val="TableGrid"/>
        <w:tblW w:type="auto" w:w="0"/>
        <w:jc w:val="center"/>
        <w:tblLook w:firstColumn="1" w:firstRow="1" w:lastColumn="0" w:lastRow="0" w:noHBand="0" w:noVBand="1" w:val="04A0"/>
      </w:tblPr>
      <w:tblGrid>
        <w:gridCol w:w="5184"/>
        <w:gridCol w:w="5184"/>
      </w:tblGrid>
      <w:tr>
        <w:tc>
          <w:tcPr>
            <w:tcW w:type="dxa" w:w="2232"/>
            <w:vAlign w:val="center"/>
            <w:shd w:fill="19305F"/>
          </w:tcPr>
          <w:p>
            <w:pPr>
              <w:spacing w:after="0"/>
            </w:pPr>
            <w:r/>
            <w:r>
              <w:rPr>
                <w:rFonts w:ascii="Aptos" w:hAnsi="Aptos"/>
                <w:b/>
                <w:color w:val="FFFFFF"/>
                <w:sz w:val="17"/>
              </w:rPr>
              <w:t>Dimension</w:t>
            </w:r>
          </w:p>
        </w:tc>
        <w:tc>
          <w:tcPr>
            <w:tcW w:type="dxa" w:w="7200"/>
            <w:vAlign w:val="center"/>
            <w:shd w:fill="19305F"/>
          </w:tcPr>
          <w:p>
            <w:pPr>
              <w:spacing w:after="0"/>
            </w:pPr>
            <w:r/>
            <w:r>
              <w:rPr>
                <w:rFonts w:ascii="Aptos" w:hAnsi="Aptos"/>
                <w:b/>
                <w:color w:val="FFFFFF"/>
                <w:sz w:val="17"/>
              </w:rPr>
              <w:t>Main observation</w:t>
            </w:r>
          </w:p>
        </w:tc>
      </w:tr>
      <w:tr>
        <w:tc>
          <w:tcPr>
            <w:tcW w:type="dxa" w:w="2232"/>
            <w:vAlign w:val="center"/>
          </w:tcPr>
          <w:p>
            <w:pPr>
              <w:spacing w:after="0"/>
            </w:pPr>
            <w:r/>
            <w:r>
              <w:rPr>
                <w:rFonts w:ascii="Aptos" w:hAnsi="Aptos"/>
                <w:b w:val="0"/>
                <w:sz w:val="17"/>
              </w:rPr>
              <w:t>Scale</w:t>
            </w:r>
          </w:p>
        </w:tc>
        <w:tc>
          <w:tcPr>
            <w:tcW w:type="dxa" w:w="7200"/>
            <w:vAlign w:val="center"/>
          </w:tcPr>
          <w:p>
            <w:pPr>
              <w:spacing w:after="0"/>
            </w:pPr>
            <w:r/>
            <w:r>
              <w:rPr>
                <w:rFonts w:ascii="Aptos" w:hAnsi="Aptos"/>
                <w:b w:val="0"/>
                <w:sz w:val="17"/>
              </w:rPr>
              <w:t>HUL has the largest revenue base by a wide margin.</w:t>
            </w:r>
          </w:p>
        </w:tc>
      </w:tr>
      <w:tr>
        <w:tc>
          <w:tcPr>
            <w:tcW w:type="dxa" w:w="2232"/>
            <w:vAlign w:val="center"/>
            <w:shd w:fill="F4F6F9"/>
          </w:tcPr>
          <w:p>
            <w:pPr>
              <w:spacing w:after="0"/>
            </w:pPr>
            <w:r/>
            <w:r>
              <w:rPr>
                <w:rFonts w:ascii="Aptos" w:hAnsi="Aptos"/>
                <w:b w:val="0"/>
                <w:sz w:val="17"/>
              </w:rPr>
              <w:t>Growth</w:t>
            </w:r>
          </w:p>
        </w:tc>
        <w:tc>
          <w:tcPr>
            <w:tcW w:type="dxa" w:w="7200"/>
            <w:vAlign w:val="center"/>
            <w:shd w:fill="F4F6F9"/>
          </w:tcPr>
          <w:p>
            <w:pPr>
              <w:spacing w:after="0"/>
            </w:pPr>
            <w:r/>
            <w:r>
              <w:rPr>
                <w:rFonts w:ascii="Aptos" w:hAnsi="Aptos"/>
                <w:b w:val="0"/>
                <w:sz w:val="17"/>
              </w:rPr>
              <w:t>Nestlé has the fastest workbook revenue CAGR; Britannia is next; HUL is more moderate.</w:t>
            </w:r>
          </w:p>
        </w:tc>
      </w:tr>
      <w:tr>
        <w:tc>
          <w:tcPr>
            <w:tcW w:type="dxa" w:w="2232"/>
            <w:vAlign w:val="center"/>
          </w:tcPr>
          <w:p>
            <w:pPr>
              <w:spacing w:after="0"/>
            </w:pPr>
            <w:r/>
            <w:r>
              <w:rPr>
                <w:rFonts w:ascii="Aptos" w:hAnsi="Aptos"/>
                <w:b w:val="0"/>
                <w:sz w:val="17"/>
              </w:rPr>
              <w:t>Operating improvement</w:t>
            </w:r>
          </w:p>
        </w:tc>
        <w:tc>
          <w:tcPr>
            <w:tcW w:type="dxa" w:w="7200"/>
            <w:vAlign w:val="center"/>
          </w:tcPr>
          <w:p>
            <w:pPr>
              <w:spacing w:after="0"/>
            </w:pPr>
            <w:r/>
            <w:r>
              <w:rPr>
                <w:rFonts w:ascii="Aptos" w:hAnsi="Aptos"/>
                <w:b w:val="0"/>
                <w:sz w:val="17"/>
              </w:rPr>
              <w:t>Britannia shows the clearest margin improvement across the five-year period.</w:t>
            </w:r>
          </w:p>
        </w:tc>
      </w:tr>
      <w:tr>
        <w:tc>
          <w:tcPr>
            <w:tcW w:type="dxa" w:w="2232"/>
            <w:vAlign w:val="center"/>
            <w:shd w:fill="F4F6F9"/>
          </w:tcPr>
          <w:p>
            <w:pPr>
              <w:spacing w:after="0"/>
            </w:pPr>
            <w:r/>
            <w:r>
              <w:rPr>
                <w:rFonts w:ascii="Aptos" w:hAnsi="Aptos"/>
                <w:b w:val="0"/>
                <w:sz w:val="17"/>
              </w:rPr>
              <w:t>Returns</w:t>
            </w:r>
          </w:p>
        </w:tc>
        <w:tc>
          <w:tcPr>
            <w:tcW w:type="dxa" w:w="7200"/>
            <w:vAlign w:val="center"/>
            <w:shd w:fill="F4F6F9"/>
          </w:tcPr>
          <w:p>
            <w:pPr>
              <w:spacing w:after="0"/>
            </w:pPr>
            <w:r/>
            <w:r>
              <w:rPr>
                <w:rFonts w:ascii="Aptos" w:hAnsi="Aptos"/>
                <w:b w:val="0"/>
                <w:sz w:val="17"/>
              </w:rPr>
              <w:t>Nestlé has the highest FY2026 ROE/ROA in the workbook; Britannia also has a high ROE.</w:t>
            </w:r>
          </w:p>
        </w:tc>
      </w:tr>
      <w:tr>
        <w:tc>
          <w:tcPr>
            <w:tcW w:type="dxa" w:w="2232"/>
            <w:vAlign w:val="center"/>
          </w:tcPr>
          <w:p>
            <w:pPr>
              <w:spacing w:after="0"/>
            </w:pPr>
            <w:r/>
            <w:r>
              <w:rPr>
                <w:rFonts w:ascii="Aptos" w:hAnsi="Aptos"/>
                <w:b w:val="0"/>
                <w:sz w:val="17"/>
              </w:rPr>
              <w:t>Leverage</w:t>
            </w:r>
          </w:p>
        </w:tc>
        <w:tc>
          <w:tcPr>
            <w:tcW w:type="dxa" w:w="7200"/>
            <w:vAlign w:val="center"/>
          </w:tcPr>
          <w:p>
            <w:pPr>
              <w:spacing w:after="0"/>
            </w:pPr>
            <w:r/>
            <w:r>
              <w:rPr>
                <w:rFonts w:ascii="Aptos" w:hAnsi="Aptos"/>
                <w:b w:val="0"/>
                <w:sz w:val="17"/>
              </w:rPr>
              <w:t>All three end FY2026 below 0.50x D/E; Britannia shows the largest five-year deleveraging.</w:t>
            </w:r>
          </w:p>
        </w:tc>
      </w:tr>
      <w:tr>
        <w:tc>
          <w:tcPr>
            <w:tcW w:type="dxa" w:w="2232"/>
            <w:vAlign w:val="center"/>
            <w:shd w:fill="F4F6F9"/>
          </w:tcPr>
          <w:p>
            <w:pPr>
              <w:spacing w:after="0"/>
            </w:pPr>
            <w:r/>
            <w:r>
              <w:rPr>
                <w:rFonts w:ascii="Aptos" w:hAnsi="Aptos"/>
                <w:b w:val="0"/>
                <w:sz w:val="17"/>
              </w:rPr>
              <w:t>Cash generation</w:t>
            </w:r>
          </w:p>
        </w:tc>
        <w:tc>
          <w:tcPr>
            <w:tcW w:type="dxa" w:w="7200"/>
            <w:vAlign w:val="center"/>
            <w:shd w:fill="F4F6F9"/>
          </w:tcPr>
          <w:p>
            <w:pPr>
              <w:spacing w:after="0"/>
            </w:pPr>
            <w:r/>
            <w:r>
              <w:rPr>
                <w:rFonts w:ascii="Aptos" w:hAnsi="Aptos"/>
                <w:b w:val="0"/>
                <w:sz w:val="17"/>
              </w:rPr>
              <w:t>Nestlé has the strongest FY2026 operating cash-flow margin.</w:t>
            </w:r>
          </w:p>
        </w:tc>
      </w:tr>
      <w:tr>
        <w:tc>
          <w:tcPr>
            <w:tcW w:type="dxa" w:w="2232"/>
            <w:vAlign w:val="center"/>
          </w:tcPr>
          <w:p>
            <w:pPr>
              <w:spacing w:after="0"/>
            </w:pPr>
            <w:r/>
            <w:r>
              <w:rPr>
                <w:rFonts w:ascii="Aptos" w:hAnsi="Aptos"/>
                <w:b w:val="0"/>
                <w:sz w:val="17"/>
              </w:rPr>
              <w:t>Main analytical caution</w:t>
            </w:r>
          </w:p>
        </w:tc>
        <w:tc>
          <w:tcPr>
            <w:tcW w:type="dxa" w:w="7200"/>
            <w:vAlign w:val="center"/>
          </w:tcPr>
          <w:p>
            <w:pPr>
              <w:spacing w:after="0"/>
            </w:pPr>
            <w:r/>
            <w:r>
              <w:rPr>
                <w:rFonts w:ascii="Aptos" w:hAnsi="Aptos"/>
                <w:b w:val="0"/>
                <w:sz w:val="17"/>
              </w:rPr>
              <w:t>Do not treat a high ROE alone as proof of superior performance; capital structure and equity base matter.</w:t>
            </w:r>
          </w:p>
        </w:tc>
      </w:tr>
    </w:tbl>
    <w:p>
      <w:pPr>
        <w:pStyle w:val="Heading2"/>
      </w:pPr>
      <w:r>
        <w:t>Conclusion</w:t>
      </w:r>
    </w:p>
    <w:p>
      <w:pPr>
        <w:spacing w:after="40"/>
      </w:pPr>
      <w:r>
        <w:t>The combined evidence points to three distinct financial profiles. HUL is characterised by scale and very low leverage; Britannia by improving operating performance and substantial deleveraging; and Nestlé India by strong returns and cash-flow conversion. The Red Flags worksheet does not identify a current FY2026 red flag for any of the three, but it does identify watch areas and historical threshold breaches that deserve contextual review. Reporting periods should be kept consistent, and unusually high return ratios or one-off profit movements should be explained rather than judged from a single ratio.</w:t>
      </w:r>
    </w:p>
    <w:sectPr w:rsidR="00FC693F" w:rsidRPr="0006063C" w:rsidSect="00034616">
      <w:footerReference w:type="default" r:id="rId9"/>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Source: AFM Presentation + FMCG Ratio Analysis workbook | Prepared for academic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2B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89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B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