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Report : Analysis of Hyperspectral Data</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1. Preprocessing Steps </w:t>
      </w:r>
      <w:r w:rsidDel="00000000" w:rsidR="00000000" w:rsidRPr="00000000">
        <w:rPr>
          <w:sz w:val="28"/>
          <w:szCs w:val="28"/>
          <w:rtl w:val="0"/>
        </w:rPr>
        <w:t xml:space="preserve">: </w:t>
      </w:r>
    </w:p>
    <w:p w:rsidR="00000000" w:rsidDel="00000000" w:rsidP="00000000" w:rsidRDefault="00000000" w:rsidRPr="00000000" w14:paraId="00000004">
      <w:pPr>
        <w:spacing w:after="240" w:before="240" w:lineRule="auto"/>
        <w:rPr>
          <w:b w:val="1"/>
          <w:sz w:val="18"/>
          <w:szCs w:val="18"/>
        </w:rPr>
      </w:pPr>
      <w:r w:rsidDel="00000000" w:rsidR="00000000" w:rsidRPr="00000000">
        <w:rPr>
          <w:b w:val="1"/>
          <w:sz w:val="18"/>
          <w:szCs w:val="18"/>
          <w:rtl w:val="0"/>
        </w:rPr>
        <w:t xml:space="preserve">Data Inspection:</w:t>
      </w:r>
    </w:p>
    <w:p w:rsidR="00000000" w:rsidDel="00000000" w:rsidP="00000000" w:rsidRDefault="00000000" w:rsidRPr="00000000" w14:paraId="00000005">
      <w:pPr>
        <w:numPr>
          <w:ilvl w:val="0"/>
          <w:numId w:val="6"/>
        </w:numPr>
        <w:spacing w:after="240" w:before="240" w:lineRule="auto"/>
        <w:ind w:left="720" w:hanging="360"/>
        <w:rPr>
          <w:sz w:val="18"/>
          <w:szCs w:val="18"/>
        </w:rPr>
      </w:pPr>
      <w:r w:rsidDel="00000000" w:rsidR="00000000" w:rsidRPr="00000000">
        <w:rPr>
          <w:b w:val="1"/>
          <w:sz w:val="18"/>
          <w:szCs w:val="18"/>
          <w:rtl w:val="0"/>
        </w:rPr>
        <w:t xml:space="preserve">Missing Data and Duplicates:</w:t>
        <w:br w:type="textWrapping"/>
      </w:r>
      <w:r w:rsidDel="00000000" w:rsidR="00000000" w:rsidRPr="00000000">
        <w:rPr>
          <w:sz w:val="18"/>
          <w:szCs w:val="18"/>
          <w:rtl w:val="0"/>
        </w:rPr>
        <w:t xml:space="preserve"> A thorough check revealed no missing data or duplicate entries, ensuring that the dataset of size 500x450 was complete.</w:t>
      </w:r>
    </w:p>
    <w:p w:rsidR="00000000" w:rsidDel="00000000" w:rsidP="00000000" w:rsidRDefault="00000000" w:rsidRPr="00000000" w14:paraId="00000006">
      <w:pPr>
        <w:spacing w:after="240" w:before="240" w:lineRule="auto"/>
        <w:rPr>
          <w:b w:val="1"/>
          <w:sz w:val="18"/>
          <w:szCs w:val="18"/>
        </w:rPr>
      </w:pPr>
      <w:r w:rsidDel="00000000" w:rsidR="00000000" w:rsidRPr="00000000">
        <w:rPr>
          <w:b w:val="1"/>
          <w:sz w:val="18"/>
          <w:szCs w:val="18"/>
          <w:rtl w:val="0"/>
        </w:rPr>
        <w:t xml:space="preserve">Outlier Detection:</w:t>
      </w:r>
    </w:p>
    <w:p w:rsidR="00000000" w:rsidDel="00000000" w:rsidP="00000000" w:rsidRDefault="00000000" w:rsidRPr="00000000" w14:paraId="00000007">
      <w:pPr>
        <w:spacing w:after="240" w:before="240" w:lineRule="auto"/>
        <w:rPr>
          <w:b w:val="1"/>
          <w:sz w:val="18"/>
          <w:szCs w:val="18"/>
        </w:rPr>
      </w:pPr>
      <w:r w:rsidDel="00000000" w:rsidR="00000000" w:rsidRPr="00000000">
        <w:rPr>
          <w:b w:val="1"/>
          <w:sz w:val="18"/>
          <w:szCs w:val="18"/>
          <w:rtl w:val="0"/>
        </w:rPr>
        <w:tab/>
      </w:r>
      <w:r w:rsidDel="00000000" w:rsidR="00000000" w:rsidRPr="00000000">
        <w:rPr>
          <w:b w:val="1"/>
          <w:sz w:val="18"/>
          <w:szCs w:val="18"/>
        </w:rPr>
        <w:drawing>
          <wp:inline distB="114300" distT="114300" distL="114300" distR="114300">
            <wp:extent cx="3131758" cy="1765609"/>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31758" cy="176560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4"/>
        </w:numPr>
        <w:spacing w:after="240" w:before="240" w:lineRule="auto"/>
        <w:ind w:left="720" w:hanging="360"/>
        <w:rPr>
          <w:sz w:val="18"/>
          <w:szCs w:val="18"/>
        </w:rPr>
      </w:pPr>
      <w:r w:rsidDel="00000000" w:rsidR="00000000" w:rsidRPr="00000000">
        <w:rPr>
          <w:b w:val="1"/>
          <w:sz w:val="18"/>
          <w:szCs w:val="18"/>
          <w:rtl w:val="0"/>
        </w:rPr>
        <w:t xml:space="preserve">Target Variable 'vomitoxin_ppb':</w:t>
        <w:br w:type="textWrapping"/>
      </w:r>
      <w:r w:rsidDel="00000000" w:rsidR="00000000" w:rsidRPr="00000000">
        <w:rPr>
          <w:sz w:val="18"/>
          <w:szCs w:val="18"/>
          <w:rtl w:val="0"/>
        </w:rPr>
        <w:t xml:space="preserve"> Outlier analysis on the target variable identified 10 records with values greater than 20,000. These outliers were removed to prevent skewing the model training.</w:t>
      </w:r>
    </w:p>
    <w:p w:rsidR="00000000" w:rsidDel="00000000" w:rsidP="00000000" w:rsidRDefault="00000000" w:rsidRPr="00000000" w14:paraId="00000009">
      <w:pPr>
        <w:spacing w:after="240" w:before="240" w:lineRule="auto"/>
        <w:rPr>
          <w:b w:val="1"/>
          <w:sz w:val="18"/>
          <w:szCs w:val="18"/>
        </w:rPr>
      </w:pPr>
      <w:r w:rsidDel="00000000" w:rsidR="00000000" w:rsidRPr="00000000">
        <w:rPr>
          <w:b w:val="1"/>
          <w:sz w:val="18"/>
          <w:szCs w:val="18"/>
          <w:rtl w:val="0"/>
        </w:rPr>
        <w:t xml:space="preserve">Reflectance Data:</w:t>
      </w:r>
    </w:p>
    <w:p w:rsidR="00000000" w:rsidDel="00000000" w:rsidP="00000000" w:rsidRDefault="00000000" w:rsidRPr="00000000" w14:paraId="0000000A">
      <w:pPr>
        <w:spacing w:after="240" w:before="240" w:lineRule="auto"/>
        <w:rPr>
          <w:b w:val="1"/>
          <w:sz w:val="18"/>
          <w:szCs w:val="18"/>
        </w:rPr>
      </w:pPr>
      <w:r w:rsidDel="00000000" w:rsidR="00000000" w:rsidRPr="00000000">
        <w:rPr>
          <w:b w:val="1"/>
          <w:sz w:val="18"/>
          <w:szCs w:val="18"/>
          <w:rtl w:val="0"/>
        </w:rPr>
        <w:tab/>
      </w:r>
      <w:r w:rsidDel="00000000" w:rsidR="00000000" w:rsidRPr="00000000">
        <w:rPr>
          <w:b w:val="1"/>
          <w:sz w:val="18"/>
          <w:szCs w:val="18"/>
        </w:rPr>
        <w:drawing>
          <wp:inline distB="114300" distT="114300" distL="114300" distR="114300">
            <wp:extent cx="3692685" cy="105868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92685" cy="105868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7"/>
        </w:numPr>
        <w:spacing w:after="240" w:before="240" w:lineRule="auto"/>
        <w:ind w:left="720" w:hanging="360"/>
        <w:rPr>
          <w:sz w:val="18"/>
          <w:szCs w:val="18"/>
        </w:rPr>
      </w:pPr>
      <w:r w:rsidDel="00000000" w:rsidR="00000000" w:rsidRPr="00000000">
        <w:rPr>
          <w:sz w:val="18"/>
          <w:szCs w:val="18"/>
          <w:rtl w:val="0"/>
        </w:rPr>
        <w:t xml:space="preserve">The first 448 columns (indexed 0 to 447) contain reflectance data. Each spectral band exhibited a nearly normal distribution.</w:t>
      </w:r>
    </w:p>
    <w:p w:rsidR="00000000" w:rsidDel="00000000" w:rsidP="00000000" w:rsidRDefault="00000000" w:rsidRPr="00000000" w14:paraId="0000000C">
      <w:pPr>
        <w:spacing w:after="240" w:before="240" w:lineRule="auto"/>
        <w:rPr>
          <w:b w:val="1"/>
          <w:sz w:val="18"/>
          <w:szCs w:val="18"/>
        </w:rPr>
      </w:pPr>
      <w:r w:rsidDel="00000000" w:rsidR="00000000" w:rsidRPr="00000000">
        <w:rPr>
          <w:b w:val="1"/>
          <w:sz w:val="18"/>
          <w:szCs w:val="18"/>
          <w:rtl w:val="0"/>
        </w:rPr>
        <w:t xml:space="preserve">Standardization:</w:t>
      </w:r>
    </w:p>
    <w:p w:rsidR="00000000" w:rsidDel="00000000" w:rsidP="00000000" w:rsidRDefault="00000000" w:rsidRPr="00000000" w14:paraId="0000000D">
      <w:pPr>
        <w:numPr>
          <w:ilvl w:val="0"/>
          <w:numId w:val="1"/>
        </w:numPr>
        <w:spacing w:after="240" w:before="240" w:lineRule="auto"/>
        <w:ind w:left="720" w:hanging="360"/>
        <w:rPr>
          <w:sz w:val="18"/>
          <w:szCs w:val="18"/>
        </w:rPr>
      </w:pPr>
      <w:r w:rsidDel="00000000" w:rsidR="00000000" w:rsidRPr="00000000">
        <w:rPr>
          <w:sz w:val="18"/>
          <w:szCs w:val="18"/>
          <w:rtl w:val="0"/>
        </w:rPr>
        <w:t xml:space="preserve">Prior to applying dimensionality reduction techniques, standardization was performed on the reflectance data. This step ensured that each spectral band contributed equally during PCA, avoiding bias due to scale differences.</w:t>
      </w:r>
    </w:p>
    <w:p w:rsidR="00000000" w:rsidDel="00000000" w:rsidP="00000000" w:rsidRDefault="00000000" w:rsidRPr="00000000" w14:paraId="0000000E">
      <w:pPr>
        <w:pStyle w:val="Heading2"/>
        <w:keepNext w:val="0"/>
        <w:keepLines w:val="0"/>
        <w:spacing w:after="80" w:lineRule="auto"/>
        <w:rPr>
          <w:b w:val="1"/>
          <w:sz w:val="30"/>
          <w:szCs w:val="30"/>
        </w:rPr>
      </w:pPr>
      <w:bookmarkStart w:colFirst="0" w:colLast="0" w:name="_aj2y2n1f5js" w:id="0"/>
      <w:bookmarkEnd w:id="0"/>
      <w:r w:rsidDel="00000000" w:rsidR="00000000" w:rsidRPr="00000000">
        <w:rPr>
          <w:b w:val="1"/>
          <w:sz w:val="30"/>
          <w:szCs w:val="30"/>
          <w:rtl w:val="0"/>
        </w:rPr>
        <w:t xml:space="preserve">2. Insights from Dimensionality Reduction:</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b w:val="1"/>
          <w:sz w:val="18"/>
          <w:szCs w:val="18"/>
          <w:rtl w:val="0"/>
        </w:rPr>
        <w:t xml:space="preserve">PCA Application:</w:t>
        <w:br w:type="textWrapping"/>
      </w:r>
      <w:r w:rsidDel="00000000" w:rsidR="00000000" w:rsidRPr="00000000">
        <w:rPr>
          <w:b w:val="1"/>
          <w:sz w:val="30"/>
          <w:szCs w:val="30"/>
        </w:rPr>
        <w:drawing>
          <wp:inline distB="114300" distT="114300" distL="114300" distR="114300">
            <wp:extent cx="2666270" cy="176640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66270" cy="176640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Principal Component Analysis (PCA) was applied to the standardized data with a variance retention threshold of 95%.</w:t>
      </w:r>
    </w:p>
    <w:p w:rsidR="00000000" w:rsidDel="00000000" w:rsidP="00000000" w:rsidRDefault="00000000" w:rsidRPr="00000000" w14:paraId="00000011">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This process resulted in only 3 principal components, indicating a high level of correlation among the original spectral bands.</w:t>
      </w:r>
    </w:p>
    <w:p w:rsidR="00000000" w:rsidDel="00000000" w:rsidP="00000000" w:rsidRDefault="00000000" w:rsidRPr="00000000" w14:paraId="00000012">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Observations from PCA:</w:t>
        <w:br w:type="textWrapping"/>
      </w:r>
    </w:p>
    <w:p w:rsidR="00000000" w:rsidDel="00000000" w:rsidP="00000000" w:rsidRDefault="00000000" w:rsidRPr="00000000" w14:paraId="00000013">
      <w:pPr>
        <w:numPr>
          <w:ilvl w:val="1"/>
          <w:numId w:val="3"/>
        </w:numPr>
        <w:spacing w:after="240" w:before="0" w:beforeAutospacing="0" w:lineRule="auto"/>
        <w:ind w:left="1440" w:hanging="360"/>
        <w:rPr>
          <w:sz w:val="18"/>
          <w:szCs w:val="18"/>
        </w:rPr>
      </w:pPr>
      <w:r w:rsidDel="00000000" w:rsidR="00000000" w:rsidRPr="00000000">
        <w:rPr>
          <w:b w:val="1"/>
          <w:sz w:val="18"/>
          <w:szCs w:val="18"/>
          <w:rtl w:val="0"/>
        </w:rPr>
        <w:t xml:space="preserve">Distribution of PCA1:</w:t>
        <w:br w:type="textWrapping"/>
      </w:r>
      <w:r w:rsidDel="00000000" w:rsidR="00000000" w:rsidRPr="00000000">
        <w:rPr>
          <w:sz w:val="18"/>
          <w:szCs w:val="18"/>
          <w:rtl w:val="0"/>
        </w:rPr>
        <w:t xml:space="preserve"> The distribution of the first principal component (PCA1) revealed two distinct peaks. This bimodal pattern suggests the possibility of different corn types or varieties within the dataset, which may contribute differently to the measured 'vomitoxin_ppb' values.</w:t>
      </w:r>
    </w:p>
    <w:p w:rsidR="00000000" w:rsidDel="00000000" w:rsidP="00000000" w:rsidRDefault="00000000" w:rsidRPr="00000000" w14:paraId="00000014">
      <w:pPr>
        <w:spacing w:after="240" w:before="240" w:lineRule="auto"/>
        <w:rPr>
          <w:sz w:val="18"/>
          <w:szCs w:val="18"/>
        </w:rPr>
      </w:pPr>
      <w:r w:rsidDel="00000000" w:rsidR="00000000" w:rsidRPr="00000000">
        <w:rPr>
          <w:sz w:val="18"/>
          <w:szCs w:val="18"/>
          <w:rtl w:val="0"/>
        </w:rPr>
        <w:tab/>
        <w:tab/>
      </w:r>
      <w:r w:rsidDel="00000000" w:rsidR="00000000" w:rsidRPr="00000000">
        <w:rPr>
          <w:sz w:val="18"/>
          <w:szCs w:val="18"/>
        </w:rPr>
        <w:drawing>
          <wp:inline distB="114300" distT="114300" distL="114300" distR="114300">
            <wp:extent cx="2833688" cy="1339644"/>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33688" cy="1339644"/>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0"/>
          <w:szCs w:val="30"/>
        </w:rPr>
      </w:pPr>
      <w:bookmarkStart w:colFirst="0" w:colLast="0" w:name="_dz3tbdglwlhm" w:id="1"/>
      <w:bookmarkEnd w:id="1"/>
      <w:r w:rsidDel="00000000" w:rsidR="00000000" w:rsidRPr="00000000">
        <w:rPr>
          <w:b w:val="1"/>
          <w:sz w:val="30"/>
          <w:szCs w:val="30"/>
          <w:rtl w:val="0"/>
        </w:rPr>
        <w:t xml:space="preserve">3. Model Selection, Training, and Evaluation Details</w:t>
      </w:r>
    </w:p>
    <w:p w:rsidR="00000000" w:rsidDel="00000000" w:rsidP="00000000" w:rsidRDefault="00000000" w:rsidRPr="00000000" w14:paraId="00000016">
      <w:pPr>
        <w:numPr>
          <w:ilvl w:val="0"/>
          <w:numId w:val="5"/>
        </w:numPr>
        <w:spacing w:after="0" w:afterAutospacing="0" w:before="240" w:lineRule="auto"/>
        <w:ind w:left="720" w:hanging="360"/>
        <w:rPr>
          <w:sz w:val="18"/>
          <w:szCs w:val="18"/>
        </w:rPr>
      </w:pPr>
      <w:r w:rsidDel="00000000" w:rsidR="00000000" w:rsidRPr="00000000">
        <w:rPr>
          <w:b w:val="1"/>
          <w:sz w:val="18"/>
          <w:szCs w:val="18"/>
          <w:rtl w:val="0"/>
        </w:rPr>
        <w:t xml:space="preserve">Model Exploration:</w:t>
        <w:br w:type="textWrapping"/>
      </w:r>
    </w:p>
    <w:p w:rsidR="00000000" w:rsidDel="00000000" w:rsidP="00000000" w:rsidRDefault="00000000" w:rsidRPr="00000000" w14:paraId="00000017">
      <w:pPr>
        <w:numPr>
          <w:ilvl w:val="1"/>
          <w:numId w:val="5"/>
        </w:numPr>
        <w:spacing w:after="0" w:afterAutospacing="0" w:before="0" w:beforeAutospacing="0" w:lineRule="auto"/>
        <w:ind w:left="1440" w:hanging="360"/>
        <w:rPr>
          <w:sz w:val="18"/>
          <w:szCs w:val="18"/>
        </w:rPr>
      </w:pPr>
      <w:r w:rsidDel="00000000" w:rsidR="00000000" w:rsidRPr="00000000">
        <w:rPr>
          <w:sz w:val="18"/>
          <w:szCs w:val="18"/>
          <w:rtl w:val="0"/>
        </w:rPr>
        <w:t xml:space="preserve">Multiple models were considered, including:</w:t>
      </w:r>
    </w:p>
    <w:p w:rsidR="00000000" w:rsidDel="00000000" w:rsidP="00000000" w:rsidRDefault="00000000" w:rsidRPr="00000000" w14:paraId="00000018">
      <w:pPr>
        <w:numPr>
          <w:ilvl w:val="2"/>
          <w:numId w:val="5"/>
        </w:numPr>
        <w:spacing w:after="0" w:afterAutospacing="0" w:before="0" w:beforeAutospacing="0" w:lineRule="auto"/>
        <w:ind w:left="2160" w:hanging="360"/>
        <w:rPr>
          <w:sz w:val="18"/>
          <w:szCs w:val="18"/>
        </w:rPr>
      </w:pPr>
      <w:r w:rsidDel="00000000" w:rsidR="00000000" w:rsidRPr="00000000">
        <w:rPr>
          <w:sz w:val="18"/>
          <w:szCs w:val="18"/>
          <w:rtl w:val="0"/>
        </w:rPr>
        <w:t xml:space="preserve">Support Vector Regression (SVR)</w:t>
      </w:r>
    </w:p>
    <w:p w:rsidR="00000000" w:rsidDel="00000000" w:rsidP="00000000" w:rsidRDefault="00000000" w:rsidRPr="00000000" w14:paraId="00000019">
      <w:pPr>
        <w:numPr>
          <w:ilvl w:val="2"/>
          <w:numId w:val="5"/>
        </w:numPr>
        <w:spacing w:after="0" w:afterAutospacing="0" w:before="0" w:beforeAutospacing="0" w:lineRule="auto"/>
        <w:ind w:left="2160" w:hanging="360"/>
        <w:rPr>
          <w:sz w:val="18"/>
          <w:szCs w:val="18"/>
        </w:rPr>
      </w:pPr>
      <w:r w:rsidDel="00000000" w:rsidR="00000000" w:rsidRPr="00000000">
        <w:rPr>
          <w:sz w:val="18"/>
          <w:szCs w:val="18"/>
          <w:rtl w:val="0"/>
        </w:rPr>
        <w:t xml:space="preserve">Random Forest</w:t>
      </w:r>
    </w:p>
    <w:p w:rsidR="00000000" w:rsidDel="00000000" w:rsidP="00000000" w:rsidRDefault="00000000" w:rsidRPr="00000000" w14:paraId="0000001A">
      <w:pPr>
        <w:numPr>
          <w:ilvl w:val="2"/>
          <w:numId w:val="5"/>
        </w:numPr>
        <w:spacing w:after="0" w:afterAutospacing="0" w:before="0" w:beforeAutospacing="0" w:lineRule="auto"/>
        <w:ind w:left="2160" w:hanging="360"/>
        <w:rPr>
          <w:sz w:val="18"/>
          <w:szCs w:val="18"/>
        </w:rPr>
      </w:pPr>
      <w:r w:rsidDel="00000000" w:rsidR="00000000" w:rsidRPr="00000000">
        <w:rPr>
          <w:sz w:val="18"/>
          <w:szCs w:val="18"/>
          <w:rtl w:val="0"/>
        </w:rPr>
        <w:t xml:space="preserve">Gradient Boosting</w:t>
      </w:r>
    </w:p>
    <w:p w:rsidR="00000000" w:rsidDel="00000000" w:rsidP="00000000" w:rsidRDefault="00000000" w:rsidRPr="00000000" w14:paraId="0000001B">
      <w:pPr>
        <w:numPr>
          <w:ilvl w:val="1"/>
          <w:numId w:val="5"/>
        </w:numPr>
        <w:spacing w:after="0" w:afterAutospacing="0" w:before="0" w:beforeAutospacing="0" w:lineRule="auto"/>
        <w:ind w:left="1440" w:hanging="360"/>
        <w:rPr>
          <w:sz w:val="18"/>
          <w:szCs w:val="18"/>
        </w:rPr>
      </w:pPr>
      <w:r w:rsidDel="00000000" w:rsidR="00000000" w:rsidRPr="00000000">
        <w:rPr>
          <w:sz w:val="18"/>
          <w:szCs w:val="18"/>
          <w:rtl w:val="0"/>
        </w:rPr>
        <w:t xml:space="preserve">Hyperparameter tuning for these models was performed using </w:t>
      </w:r>
      <w:r w:rsidDel="00000000" w:rsidR="00000000" w:rsidRPr="00000000">
        <w:rPr>
          <w:b w:val="1"/>
          <w:sz w:val="18"/>
          <w:szCs w:val="18"/>
          <w:rtl w:val="0"/>
        </w:rPr>
        <w:t xml:space="preserve">Optuna</w:t>
      </w:r>
      <w:r w:rsidDel="00000000" w:rsidR="00000000" w:rsidRPr="00000000">
        <w:rPr>
          <w:sz w:val="18"/>
          <w:szCs w:val="18"/>
          <w:rtl w:val="0"/>
        </w:rPr>
        <w:t xml:space="preserve">, which streamlined the search process.</w:t>
      </w:r>
    </w:p>
    <w:p w:rsidR="00000000" w:rsidDel="00000000" w:rsidP="00000000" w:rsidRDefault="00000000" w:rsidRPr="00000000" w14:paraId="0000001C">
      <w:pPr>
        <w:numPr>
          <w:ilvl w:val="0"/>
          <w:numId w:val="5"/>
        </w:numPr>
        <w:spacing w:after="0" w:afterAutospacing="0" w:before="0" w:beforeAutospacing="0" w:lineRule="auto"/>
        <w:ind w:left="720" w:hanging="360"/>
        <w:rPr>
          <w:sz w:val="18"/>
          <w:szCs w:val="18"/>
        </w:rPr>
      </w:pPr>
      <w:r w:rsidDel="00000000" w:rsidR="00000000" w:rsidRPr="00000000">
        <w:rPr>
          <w:b w:val="1"/>
          <w:sz w:val="18"/>
          <w:szCs w:val="18"/>
          <w:rtl w:val="0"/>
        </w:rPr>
        <w:t xml:space="preserve">Selection and Tuning:</w:t>
        <w:br w:type="textWrapping"/>
      </w:r>
    </w:p>
    <w:p w:rsidR="00000000" w:rsidDel="00000000" w:rsidP="00000000" w:rsidRDefault="00000000" w:rsidRPr="00000000" w14:paraId="0000001D">
      <w:pPr>
        <w:numPr>
          <w:ilvl w:val="1"/>
          <w:numId w:val="5"/>
        </w:numPr>
        <w:spacing w:after="0" w:afterAutospacing="0" w:before="0" w:beforeAutospacing="0" w:lineRule="auto"/>
        <w:ind w:left="1440" w:hanging="360"/>
        <w:rPr>
          <w:sz w:val="18"/>
          <w:szCs w:val="18"/>
        </w:rPr>
      </w:pPr>
      <w:r w:rsidDel="00000000" w:rsidR="00000000" w:rsidRPr="00000000">
        <w:rPr>
          <w:b w:val="1"/>
          <w:sz w:val="18"/>
          <w:szCs w:val="18"/>
          <w:rtl w:val="0"/>
        </w:rPr>
        <w:t xml:space="preserve">Random Forest</w:t>
      </w:r>
      <w:r w:rsidDel="00000000" w:rsidR="00000000" w:rsidRPr="00000000">
        <w:rPr>
          <w:sz w:val="18"/>
          <w:szCs w:val="18"/>
          <w:rtl w:val="0"/>
        </w:rPr>
        <w:t xml:space="preserve"> emerged as the best-performing model based on initial experiments.</w:t>
      </w:r>
    </w:p>
    <w:p w:rsidR="00000000" w:rsidDel="00000000" w:rsidP="00000000" w:rsidRDefault="00000000" w:rsidRPr="00000000" w14:paraId="0000001E">
      <w:pPr>
        <w:numPr>
          <w:ilvl w:val="1"/>
          <w:numId w:val="5"/>
        </w:numPr>
        <w:spacing w:after="0" w:afterAutospacing="0" w:before="0" w:beforeAutospacing="0" w:lineRule="auto"/>
        <w:ind w:left="1440" w:hanging="360"/>
        <w:rPr>
          <w:sz w:val="18"/>
          <w:szCs w:val="18"/>
        </w:rPr>
      </w:pPr>
      <w:r w:rsidDel="00000000" w:rsidR="00000000" w:rsidRPr="00000000">
        <w:rPr>
          <w:sz w:val="18"/>
          <w:szCs w:val="18"/>
          <w:rtl w:val="0"/>
        </w:rPr>
        <w:t xml:space="preserve">Further hyperparameter tuning was conducted on the Random Forest model, using Root Mean Squared Error (RMSE) as the scoring metric.</w:t>
      </w:r>
    </w:p>
    <w:p w:rsidR="00000000" w:rsidDel="00000000" w:rsidP="00000000" w:rsidRDefault="00000000" w:rsidRPr="00000000" w14:paraId="0000001F">
      <w:pPr>
        <w:numPr>
          <w:ilvl w:val="0"/>
          <w:numId w:val="5"/>
        </w:numPr>
        <w:spacing w:after="0" w:afterAutospacing="0" w:before="0" w:beforeAutospacing="0" w:lineRule="auto"/>
        <w:ind w:left="720" w:hanging="360"/>
        <w:rPr>
          <w:sz w:val="18"/>
          <w:szCs w:val="18"/>
        </w:rPr>
      </w:pPr>
      <w:r w:rsidDel="00000000" w:rsidR="00000000" w:rsidRPr="00000000">
        <w:rPr>
          <w:b w:val="1"/>
          <w:sz w:val="18"/>
          <w:szCs w:val="18"/>
          <w:rtl w:val="0"/>
        </w:rPr>
        <w:t xml:space="preserve">Evaluation Metrics:</w:t>
        <w:br w:type="textWrapping"/>
      </w:r>
    </w:p>
    <w:p w:rsidR="00000000" w:rsidDel="00000000" w:rsidP="00000000" w:rsidRDefault="00000000" w:rsidRPr="00000000" w14:paraId="00000020">
      <w:pPr>
        <w:numPr>
          <w:ilvl w:val="1"/>
          <w:numId w:val="5"/>
        </w:numPr>
        <w:spacing w:after="0" w:afterAutospacing="0" w:before="0" w:beforeAutospacing="0" w:lineRule="auto"/>
        <w:ind w:left="1440" w:hanging="360"/>
        <w:rPr>
          <w:sz w:val="18"/>
          <w:szCs w:val="18"/>
        </w:rPr>
      </w:pPr>
      <w:r w:rsidDel="00000000" w:rsidR="00000000" w:rsidRPr="00000000">
        <w:rPr>
          <w:b w:val="1"/>
          <w:sz w:val="18"/>
          <w:szCs w:val="18"/>
          <w:rtl w:val="0"/>
        </w:rPr>
        <w:t xml:space="preserve">Mean Squared Error (MSE):</w:t>
      </w:r>
      <w:r w:rsidDel="00000000" w:rsidR="00000000" w:rsidRPr="00000000">
        <w:rPr>
          <w:sz w:val="18"/>
          <w:szCs w:val="18"/>
          <w:rtl w:val="0"/>
        </w:rPr>
        <w:t xml:space="preserve"> 4,036,476.5317</w:t>
      </w:r>
    </w:p>
    <w:p w:rsidR="00000000" w:rsidDel="00000000" w:rsidP="00000000" w:rsidRDefault="00000000" w:rsidRPr="00000000" w14:paraId="00000021">
      <w:pPr>
        <w:numPr>
          <w:ilvl w:val="1"/>
          <w:numId w:val="5"/>
        </w:numPr>
        <w:spacing w:after="0" w:afterAutospacing="0" w:before="0" w:beforeAutospacing="0" w:lineRule="auto"/>
        <w:ind w:left="1440" w:hanging="360"/>
        <w:rPr>
          <w:sz w:val="18"/>
          <w:szCs w:val="18"/>
        </w:rPr>
      </w:pPr>
      <w:r w:rsidDel="00000000" w:rsidR="00000000" w:rsidRPr="00000000">
        <w:rPr>
          <w:b w:val="1"/>
          <w:sz w:val="18"/>
          <w:szCs w:val="18"/>
          <w:rtl w:val="0"/>
        </w:rPr>
        <w:t xml:space="preserve">Root Mean Squared Error (RMSE):</w:t>
      </w:r>
      <w:r w:rsidDel="00000000" w:rsidR="00000000" w:rsidRPr="00000000">
        <w:rPr>
          <w:sz w:val="18"/>
          <w:szCs w:val="18"/>
          <w:rtl w:val="0"/>
        </w:rPr>
        <w:t xml:space="preserve"> 2009.0984</w:t>
      </w:r>
    </w:p>
    <w:p w:rsidR="00000000" w:rsidDel="00000000" w:rsidP="00000000" w:rsidRDefault="00000000" w:rsidRPr="00000000" w14:paraId="00000022">
      <w:pPr>
        <w:numPr>
          <w:ilvl w:val="1"/>
          <w:numId w:val="5"/>
        </w:numPr>
        <w:spacing w:after="240" w:before="0" w:beforeAutospacing="0" w:lineRule="auto"/>
        <w:ind w:left="1440" w:hanging="360"/>
        <w:rPr>
          <w:sz w:val="18"/>
          <w:szCs w:val="18"/>
        </w:rPr>
      </w:pPr>
      <w:r w:rsidDel="00000000" w:rsidR="00000000" w:rsidRPr="00000000">
        <w:rPr>
          <w:b w:val="1"/>
          <w:sz w:val="18"/>
          <w:szCs w:val="18"/>
          <w:rtl w:val="0"/>
        </w:rPr>
        <w:t xml:space="preserve">R² Score:</w:t>
      </w:r>
      <w:r w:rsidDel="00000000" w:rsidR="00000000" w:rsidRPr="00000000">
        <w:rPr>
          <w:sz w:val="18"/>
          <w:szCs w:val="18"/>
          <w:rtl w:val="0"/>
        </w:rPr>
        <w:t xml:space="preserve"> 0.4273</w:t>
      </w:r>
    </w:p>
    <w:p w:rsidR="00000000" w:rsidDel="00000000" w:rsidP="00000000" w:rsidRDefault="00000000" w:rsidRPr="00000000" w14:paraId="00000023">
      <w:pPr>
        <w:pStyle w:val="Heading2"/>
        <w:keepNext w:val="0"/>
        <w:keepLines w:val="0"/>
        <w:spacing w:after="80" w:lineRule="auto"/>
        <w:rPr>
          <w:b w:val="1"/>
          <w:sz w:val="30"/>
          <w:szCs w:val="30"/>
        </w:rPr>
      </w:pPr>
      <w:bookmarkStart w:colFirst="0" w:colLast="0" w:name="_alepby42g58l" w:id="2"/>
      <w:bookmarkEnd w:id="2"/>
      <w:r w:rsidDel="00000000" w:rsidR="00000000" w:rsidRPr="00000000">
        <w:rPr>
          <w:b w:val="1"/>
          <w:sz w:val="30"/>
          <w:szCs w:val="30"/>
          <w:rtl w:val="0"/>
        </w:rPr>
        <w:t xml:space="preserve">4. Key Findings and Suggestions for Improvement</w:t>
      </w:r>
    </w:p>
    <w:p w:rsidR="00000000" w:rsidDel="00000000" w:rsidP="00000000" w:rsidRDefault="00000000" w:rsidRPr="00000000" w14:paraId="00000024">
      <w:pPr>
        <w:numPr>
          <w:ilvl w:val="0"/>
          <w:numId w:val="2"/>
        </w:numPr>
        <w:spacing w:after="0" w:afterAutospacing="0" w:before="240" w:lineRule="auto"/>
        <w:ind w:left="720" w:hanging="360"/>
        <w:rPr>
          <w:sz w:val="18"/>
          <w:szCs w:val="18"/>
        </w:rPr>
      </w:pPr>
      <w:r w:rsidDel="00000000" w:rsidR="00000000" w:rsidRPr="00000000">
        <w:rPr>
          <w:b w:val="1"/>
          <w:sz w:val="18"/>
          <w:szCs w:val="18"/>
          <w:rtl w:val="0"/>
        </w:rPr>
        <w:t xml:space="preserve">Key Findings:</w:t>
        <w:br w:type="textWrapping"/>
      </w:r>
    </w:p>
    <w:p w:rsidR="00000000" w:rsidDel="00000000" w:rsidP="00000000" w:rsidRDefault="00000000" w:rsidRPr="00000000" w14:paraId="00000025">
      <w:pPr>
        <w:numPr>
          <w:ilvl w:val="1"/>
          <w:numId w:val="2"/>
        </w:numPr>
        <w:spacing w:after="0" w:afterAutospacing="0" w:before="0" w:beforeAutospacing="0" w:lineRule="auto"/>
        <w:ind w:left="1440" w:hanging="360"/>
        <w:rPr>
          <w:sz w:val="18"/>
          <w:szCs w:val="18"/>
        </w:rPr>
      </w:pPr>
      <w:r w:rsidDel="00000000" w:rsidR="00000000" w:rsidRPr="00000000">
        <w:rPr>
          <w:b w:val="1"/>
          <w:sz w:val="18"/>
          <w:szCs w:val="18"/>
          <w:rtl w:val="0"/>
        </w:rPr>
        <w:t xml:space="preserve">High Feature Correlation:</w:t>
        <w:br w:type="textWrapping"/>
      </w:r>
      <w:r w:rsidDel="00000000" w:rsidR="00000000" w:rsidRPr="00000000">
        <w:rPr>
          <w:sz w:val="18"/>
          <w:szCs w:val="18"/>
          <w:rtl w:val="0"/>
        </w:rPr>
        <w:t xml:space="preserve"> PCA revealed that only 3 components were needed to capture 95% of the variance, highlighting significant redundancy among the spectral bands.</w:t>
      </w:r>
    </w:p>
    <w:p w:rsidR="00000000" w:rsidDel="00000000" w:rsidP="00000000" w:rsidRDefault="00000000" w:rsidRPr="00000000" w14:paraId="00000026">
      <w:pPr>
        <w:numPr>
          <w:ilvl w:val="1"/>
          <w:numId w:val="2"/>
        </w:numPr>
        <w:spacing w:after="0" w:afterAutospacing="0" w:before="0" w:beforeAutospacing="0" w:lineRule="auto"/>
        <w:ind w:left="1440" w:hanging="360"/>
        <w:rPr>
          <w:sz w:val="18"/>
          <w:szCs w:val="18"/>
        </w:rPr>
      </w:pPr>
      <w:r w:rsidDel="00000000" w:rsidR="00000000" w:rsidRPr="00000000">
        <w:rPr>
          <w:b w:val="1"/>
          <w:sz w:val="18"/>
          <w:szCs w:val="18"/>
          <w:rtl w:val="0"/>
        </w:rPr>
        <w:t xml:space="preserve">Subgroup Identification:</w:t>
        <w:br w:type="textWrapping"/>
      </w:r>
      <w:r w:rsidDel="00000000" w:rsidR="00000000" w:rsidRPr="00000000">
        <w:rPr>
          <w:sz w:val="18"/>
          <w:szCs w:val="18"/>
          <w:rtl w:val="0"/>
        </w:rPr>
        <w:t xml:space="preserve"> The dual peaks in PCA1 suggest the presence of different corn types, which may influence the distribution of 'vomitoxin_ppb'.</w:t>
      </w:r>
    </w:p>
    <w:p w:rsidR="00000000" w:rsidDel="00000000" w:rsidP="00000000" w:rsidRDefault="00000000" w:rsidRPr="00000000" w14:paraId="00000027">
      <w:pPr>
        <w:numPr>
          <w:ilvl w:val="1"/>
          <w:numId w:val="2"/>
        </w:numPr>
        <w:spacing w:after="240" w:before="0" w:beforeAutospacing="0" w:lineRule="auto"/>
        <w:ind w:left="1440" w:hanging="360"/>
        <w:rPr>
          <w:sz w:val="18"/>
          <w:szCs w:val="18"/>
        </w:rPr>
      </w:pPr>
      <w:r w:rsidDel="00000000" w:rsidR="00000000" w:rsidRPr="00000000">
        <w:rPr>
          <w:b w:val="1"/>
          <w:sz w:val="18"/>
          <w:szCs w:val="18"/>
          <w:rtl w:val="0"/>
        </w:rPr>
        <w:t xml:space="preserve">Model Performance:</w:t>
        <w:br w:type="textWrapping"/>
      </w:r>
      <w:r w:rsidDel="00000000" w:rsidR="00000000" w:rsidRPr="00000000">
        <w:rPr>
          <w:sz w:val="18"/>
          <w:szCs w:val="18"/>
          <w:rtl w:val="0"/>
        </w:rPr>
        <w:t xml:space="preserve"> Despite the optimized Random Forest model performing best among the candidates, the R² score of 0.4273 indicates moderate explanatory power, leaving room for improvement.</w:t>
      </w:r>
    </w:p>
    <w:p w:rsidR="00000000" w:rsidDel="00000000" w:rsidP="00000000" w:rsidRDefault="00000000" w:rsidRPr="00000000" w14:paraId="00000028">
      <w:pPr>
        <w:spacing w:after="240" w:before="240" w:lineRule="auto"/>
        <w:rPr>
          <w:sz w:val="18"/>
          <w:szCs w:val="18"/>
        </w:rPr>
      </w:pPr>
      <w:r w:rsidDel="00000000" w:rsidR="00000000" w:rsidRPr="00000000">
        <w:rPr>
          <w:rtl w:val="0"/>
        </w:rPr>
      </w:r>
    </w:p>
    <w:p w:rsidR="00000000" w:rsidDel="00000000" w:rsidP="00000000" w:rsidRDefault="00000000" w:rsidRPr="00000000" w14:paraId="00000029">
      <w:pPr>
        <w:spacing w:after="240" w:before="240" w:lineRule="auto"/>
        <w:ind w:left="1440" w:firstLine="0"/>
        <w:rPr>
          <w:sz w:val="18"/>
          <w:szCs w:val="18"/>
        </w:rPr>
      </w:pPr>
      <w:r w:rsidDel="00000000" w:rsidR="00000000" w:rsidRPr="00000000">
        <w:rPr>
          <w:rtl w:val="0"/>
        </w:rPr>
      </w:r>
    </w:p>
    <w:p w:rsidR="00000000" w:rsidDel="00000000" w:rsidP="00000000" w:rsidRDefault="00000000" w:rsidRPr="00000000" w14:paraId="0000002A">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