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F8B2" w14:textId="63EFC086" w:rsidR="00AC24DE" w:rsidRDefault="00B41662">
      <w:r w:rsidRPr="00B41662">
        <w:t>Scope 3 emissions coverage for near-term targets of Emissions coverage: *C6 – Companies must set one or more emission reduction near-term targets and/or supplier or customer engagement targets that collectively cover(s) at least two-thirds (67%) of total reported and excluded scope 3 emissions considering the minimum boundary of each scope 3 category in conformance with the GHG Protocol Corporate Value Chain (Scope 3) Accounting and Reporting Standard.</w:t>
      </w:r>
    </w:p>
    <w:sectPr w:rsidR="00AC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62"/>
    <w:rsid w:val="005F146A"/>
    <w:rsid w:val="008001DF"/>
    <w:rsid w:val="00AC24DE"/>
    <w:rsid w:val="00B41662"/>
    <w:rsid w:val="00EC4CA9"/>
    <w:rsid w:val="00F9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C233"/>
  <w15:chartTrackingRefBased/>
  <w15:docId w15:val="{2F3F4E16-8E37-43ED-814A-0F303A5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Mohandas</dc:creator>
  <cp:keywords/>
  <dc:description/>
  <cp:lastModifiedBy>Suja Mohandas</cp:lastModifiedBy>
  <cp:revision>1</cp:revision>
  <dcterms:created xsi:type="dcterms:W3CDTF">2024-04-30T10:10:00Z</dcterms:created>
  <dcterms:modified xsi:type="dcterms:W3CDTF">2024-04-30T10:12:00Z</dcterms:modified>
</cp:coreProperties>
</file>