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ptos Display" w:hAnsi="Aptos Display"/>
          <w:b/>
          <w:color w:val="2B64AA"/>
          <w:sz w:val="26"/>
        </w:rPr>
        <w:t>SK TRANSWORLD LOGISTICS</w:t>
      </w:r>
    </w:p>
    <w:p>
      <w:pPr>
        <w:pStyle w:val="Title"/>
        <w:jc w:val="center"/>
      </w:pPr>
      <w:r>
        <w:t>Combined Requirements Summary</w:t>
        <w:br/>
        <w:t>&amp; Frontend Mockup Meta-Prompt</w:t>
      </w:r>
    </w:p>
    <w:p>
      <w:pPr>
        <w:jc w:val="center"/>
      </w:pPr>
      <w:r>
        <w:rPr>
          <w:color w:val="505C6C"/>
          <w:sz w:val="24"/>
        </w:rPr>
        <w:t>Combined Logistics Management System (CLMS) + Accounting System</w:t>
      </w:r>
    </w:p>
    <w:p>
      <w:pPr>
        <w:spacing w:before="320"/>
        <w:jc w:val="center"/>
      </w:pPr>
      <w:r>
        <w:rPr>
          <w:i/>
        </w:rPr>
        <w:t>Prepared from the supplied BRD (.docx) and Business Requirements &amp; Solution Specification (.pdf)</w:t>
        <w:br/>
        <w:t>28 October 2026 | Draft for client validation</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3052"/>
          </w:tcPr>
          <w:p>
            <w:pPr>
              <w:spacing w:after="0"/>
            </w:pPr>
            <w:r/>
            <w:r>
              <w:rPr>
                <w:rFonts w:ascii="Aptos" w:hAnsi="Aptos"/>
                <w:b/>
                <w:color w:val="FFFFFF"/>
                <w:sz w:val="17"/>
              </w:rPr>
              <w:t>Document use</w:t>
            </w:r>
          </w:p>
        </w:tc>
        <w:tc>
          <w:tcPr>
            <w:tcW w:type="dxa" w:w="5083"/>
            <w:vAlign w:val="center"/>
            <w:shd w:fill="163052"/>
          </w:tcPr>
          <w:p>
            <w:pPr>
              <w:spacing w:after="0"/>
            </w:pPr>
            <w:r/>
            <w:r>
              <w:rPr>
                <w:rFonts w:ascii="Aptos" w:hAnsi="Aptos"/>
                <w:b/>
                <w:color w:val="FFFFFF"/>
                <w:sz w:val="17"/>
              </w:rPr>
              <w:t>Interpretation</w:t>
            </w:r>
          </w:p>
        </w:tc>
      </w:tr>
      <w:tr>
        <w:tc>
          <w:tcPr>
            <w:tcW w:type="dxa" w:w="5083"/>
            <w:vAlign w:val="center"/>
          </w:tcPr>
          <w:p>
            <w:pPr>
              <w:spacing w:after="0"/>
            </w:pPr>
            <w:r/>
            <w:r>
              <w:rPr>
                <w:rFonts w:ascii="Aptos" w:hAnsi="Aptos"/>
                <w:b w:val="0"/>
                <w:sz w:val="16"/>
              </w:rPr>
              <w:t>Primary terminology</w:t>
            </w:r>
          </w:p>
        </w:tc>
        <w:tc>
          <w:tcPr>
            <w:tcW w:type="dxa" w:w="5083"/>
            <w:vAlign w:val="center"/>
          </w:tcPr>
          <w:p>
            <w:pPr>
              <w:spacing w:after="0"/>
            </w:pPr>
            <w:r/>
            <w:r>
              <w:rPr>
                <w:rFonts w:ascii="Aptos" w:hAnsi="Aptos"/>
                <w:b w:val="0"/>
                <w:sz w:val="16"/>
              </w:rPr>
              <w:t>Use the technical terms and business naming from the BRD DOCX, including Job No., docket, job cover sheet, BL/HBL/MBL, EDO, POD, SST, payment voucher, job costing, and Pending Business Clarification.</w:t>
            </w:r>
          </w:p>
        </w:tc>
      </w:tr>
      <w:tr>
        <w:tc>
          <w:tcPr>
            <w:tcW w:type="dxa" w:w="5083"/>
            <w:vAlign w:val="center"/>
            <w:shd w:fill="F1F5FA"/>
          </w:tcPr>
          <w:p>
            <w:pPr>
              <w:spacing w:after="0"/>
            </w:pPr>
            <w:r/>
            <w:r>
              <w:rPr>
                <w:rFonts w:ascii="Aptos" w:hAnsi="Aptos"/>
                <w:b w:val="0"/>
                <w:sz w:val="16"/>
              </w:rPr>
              <w:t>Combined basis</w:t>
            </w:r>
          </w:p>
        </w:tc>
        <w:tc>
          <w:tcPr>
            <w:tcW w:type="dxa" w:w="5083"/>
            <w:vAlign w:val="center"/>
            <w:shd w:fill="F1F5FA"/>
          </w:tcPr>
          <w:p>
            <w:pPr>
              <w:spacing w:after="0"/>
            </w:pPr>
            <w:r/>
            <w:r>
              <w:rPr>
                <w:rFonts w:ascii="Aptos" w:hAnsi="Aptos"/>
                <w:b w:val="0"/>
                <w:sz w:val="16"/>
              </w:rPr>
              <w:t>The PDF adds screen-oriented functional detail, proposed roles/access controls, acceptance criteria, dashboards, reporting, non-functional guidance, and phased delivery. Where a detail is not confirmed, show it as configurable or pending clarification.</w:t>
            </w:r>
          </w:p>
        </w:tc>
      </w:tr>
      <w:tr>
        <w:tc>
          <w:tcPr>
            <w:tcW w:type="dxa" w:w="5083"/>
            <w:vAlign w:val="center"/>
          </w:tcPr>
          <w:p>
            <w:pPr>
              <w:spacing w:after="0"/>
            </w:pPr>
            <w:r/>
            <w:r>
              <w:rPr>
                <w:rFonts w:ascii="Aptos" w:hAnsi="Aptos"/>
                <w:b w:val="0"/>
                <w:sz w:val="16"/>
              </w:rPr>
              <w:t>Purpose</w:t>
            </w:r>
          </w:p>
        </w:tc>
        <w:tc>
          <w:tcPr>
            <w:tcW w:type="dxa" w:w="5083"/>
            <w:vAlign w:val="center"/>
          </w:tcPr>
          <w:p>
            <w:pPr>
              <w:spacing w:after="0"/>
            </w:pPr>
            <w:r/>
            <w:r>
              <w:rPr>
                <w:rFonts w:ascii="Aptos" w:hAnsi="Aptos"/>
                <w:b w:val="0"/>
                <w:sz w:val="16"/>
              </w:rPr>
              <w:t>Consolidate the requirements and provide one copy-ready meta-prompt to generate a React frontend mockup with realistic, dynamic demo values.</w:t>
            </w:r>
          </w:p>
        </w:tc>
      </w:tr>
    </w:tbl>
    <w:p>
      <w:pPr>
        <w:spacing w:after="20"/>
      </w:pPr>
    </w:p>
    <w:p>
      <w:r>
        <w:br w:type="page"/>
      </w:r>
    </w:p>
    <w:p>
      <w:pPr>
        <w:pStyle w:val="Heading1"/>
      </w:pPr>
      <w:r>
        <w:t>1. Executive Summary</w:t>
      </w:r>
    </w:p>
    <w:p>
      <w:r>
        <w:t>SK Transworld Logistics Malaysia needs one connected B2B web application combining freight forwarding, customs clearance, haulage/trucking, warehouse operations, storage and handling billing, port/container tracking, digital job documents, customer portal, billing, accounts, job costing, management dashboards and alerts. Operations, finance and job costing are one delivery scope.</w:t>
      </w:r>
    </w:p>
    <w:p>
      <w:r>
        <w:t>The core principle is one Job No. per shipment/job record. That Job No. links the customer, shipment and containers, department activities, milestones, documents, chargeable services, supplier costs, customer invoices, payment vouchers, accounting records and job profitability. The solution should reduce duplicate data entry, prevent missed billing, improve shipment visibility and replace hard-copy job files with searchable digital records.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3052"/>
          </w:tcPr>
          <w:p>
            <w:pPr>
              <w:spacing w:after="0"/>
            </w:pPr>
            <w:r/>
            <w:r>
              <w:rPr>
                <w:rFonts w:ascii="Aptos" w:hAnsi="Aptos"/>
                <w:b/>
                <w:color w:val="FFFFFF"/>
                <w:sz w:val="17"/>
              </w:rPr>
              <w:t>Business outcome</w:t>
            </w:r>
          </w:p>
        </w:tc>
        <w:tc>
          <w:tcPr>
            <w:tcW w:type="dxa" w:w="5083"/>
            <w:vAlign w:val="center"/>
            <w:shd w:fill="163052"/>
          </w:tcPr>
          <w:p>
            <w:pPr>
              <w:spacing w:after="0"/>
            </w:pPr>
            <w:r/>
            <w:r>
              <w:rPr>
                <w:rFonts w:ascii="Aptos" w:hAnsi="Aptos"/>
                <w:b/>
                <w:color w:val="FFFFFF"/>
                <w:sz w:val="17"/>
              </w:rPr>
              <w:t>UI/system behaviour to demonstrate</w:t>
            </w:r>
          </w:p>
        </w:tc>
      </w:tr>
      <w:tr>
        <w:tc>
          <w:tcPr>
            <w:tcW w:type="dxa" w:w="5083"/>
            <w:vAlign w:val="center"/>
          </w:tcPr>
          <w:p>
            <w:pPr>
              <w:spacing w:after="0"/>
            </w:pPr>
            <w:r/>
            <w:r>
              <w:rPr>
                <w:rFonts w:ascii="Aptos" w:hAnsi="Aptos"/>
                <w:b w:val="0"/>
                <w:sz w:val="16"/>
              </w:rPr>
              <w:t>Prevent missed billing</w:t>
            </w:r>
          </w:p>
        </w:tc>
        <w:tc>
          <w:tcPr>
            <w:tcW w:type="dxa" w:w="5083"/>
            <w:vAlign w:val="center"/>
          </w:tcPr>
          <w:p>
            <w:pPr>
              <w:spacing w:after="0"/>
            </w:pPr>
            <w:r/>
            <w:r>
              <w:rPr>
                <w:rFonts w:ascii="Aptos" w:hAnsi="Aptos"/>
                <w:b w:val="0"/>
                <w:sz w:val="16"/>
              </w:rPr>
              <w:t>Show performed-but-unbilled services, draft charge suggestions, missing billing items, waiver approvals and job close-out checks.</w:t>
            </w:r>
          </w:p>
        </w:tc>
      </w:tr>
      <w:tr>
        <w:tc>
          <w:tcPr>
            <w:tcW w:type="dxa" w:w="5083"/>
            <w:vAlign w:val="center"/>
            <w:shd w:fill="F1F5FA"/>
          </w:tcPr>
          <w:p>
            <w:pPr>
              <w:spacing w:after="0"/>
            </w:pPr>
            <w:r/>
            <w:r>
              <w:rPr>
                <w:rFonts w:ascii="Aptos" w:hAnsi="Aptos"/>
                <w:b w:val="0"/>
                <w:sz w:val="16"/>
              </w:rPr>
              <w:t>Job-level profitability</w:t>
            </w:r>
          </w:p>
        </w:tc>
        <w:tc>
          <w:tcPr>
            <w:tcW w:type="dxa" w:w="5083"/>
            <w:vAlign w:val="center"/>
            <w:shd w:fill="F1F5FA"/>
          </w:tcPr>
          <w:p>
            <w:pPr>
              <w:spacing w:after="0"/>
            </w:pPr>
            <w:r/>
            <w:r>
              <w:rPr>
                <w:rFonts w:ascii="Aptos" w:hAnsi="Aptos"/>
                <w:b w:val="0"/>
                <w:sz w:val="16"/>
              </w:rPr>
              <w:t>Show revenue, cost and gross profit by Job No., customer, shipment and department; drill down to the charge/cost source.</w:t>
            </w:r>
          </w:p>
        </w:tc>
      </w:tr>
      <w:tr>
        <w:tc>
          <w:tcPr>
            <w:tcW w:type="dxa" w:w="5083"/>
            <w:vAlign w:val="center"/>
          </w:tcPr>
          <w:p>
            <w:pPr>
              <w:spacing w:after="0"/>
            </w:pPr>
            <w:r/>
            <w:r>
              <w:rPr>
                <w:rFonts w:ascii="Aptos" w:hAnsi="Aptos"/>
                <w:b w:val="0"/>
                <w:sz w:val="16"/>
              </w:rPr>
              <w:t>One shared job record</w:t>
            </w:r>
          </w:p>
        </w:tc>
        <w:tc>
          <w:tcPr>
            <w:tcW w:type="dxa" w:w="5083"/>
            <w:vAlign w:val="center"/>
          </w:tcPr>
          <w:p>
            <w:pPr>
              <w:spacing w:after="0"/>
            </w:pPr>
            <w:r/>
            <w:r>
              <w:rPr>
                <w:rFonts w:ascii="Aptos" w:hAnsi="Aptos"/>
                <w:b w:val="0"/>
                <w:sz w:val="16"/>
              </w:rPr>
              <w:t>Use the same Job No. consistently across forwarding, customs, haulage, warehouse, documents and finance screens.</w:t>
            </w:r>
          </w:p>
        </w:tc>
      </w:tr>
      <w:tr>
        <w:tc>
          <w:tcPr>
            <w:tcW w:type="dxa" w:w="5083"/>
            <w:vAlign w:val="center"/>
            <w:shd w:fill="F1F5FA"/>
          </w:tcPr>
          <w:p>
            <w:pPr>
              <w:spacing w:after="0"/>
            </w:pPr>
            <w:r/>
            <w:r>
              <w:rPr>
                <w:rFonts w:ascii="Aptos" w:hAnsi="Aptos"/>
                <w:b w:val="0"/>
                <w:sz w:val="16"/>
              </w:rPr>
              <w:t>Paperless job file</w:t>
            </w:r>
          </w:p>
        </w:tc>
        <w:tc>
          <w:tcPr>
            <w:tcW w:type="dxa" w:w="5083"/>
            <w:vAlign w:val="center"/>
            <w:shd w:fill="F1F5FA"/>
          </w:tcPr>
          <w:p>
            <w:pPr>
              <w:spacing w:after="0"/>
            </w:pPr>
            <w:r/>
            <w:r>
              <w:rPr>
                <w:rFonts w:ascii="Aptos" w:hAnsi="Aptos"/>
                <w:b w:val="0"/>
                <w:sz w:val="16"/>
              </w:rPr>
              <w:t>Provide a digital folder with upload, preview, document type, related job/container/trip/invoice, version/history and missing-document indicators.</w:t>
            </w:r>
          </w:p>
        </w:tc>
      </w:tr>
      <w:tr>
        <w:tc>
          <w:tcPr>
            <w:tcW w:type="dxa" w:w="5083"/>
            <w:vAlign w:val="center"/>
          </w:tcPr>
          <w:p>
            <w:pPr>
              <w:spacing w:after="0"/>
            </w:pPr>
            <w:r/>
            <w:r>
              <w:rPr>
                <w:rFonts w:ascii="Aptos" w:hAnsi="Aptos"/>
                <w:b w:val="0"/>
                <w:sz w:val="16"/>
              </w:rPr>
              <w:t>Connected finance</w:t>
            </w:r>
          </w:p>
        </w:tc>
        <w:tc>
          <w:tcPr>
            <w:tcW w:type="dxa" w:w="5083"/>
            <w:vAlign w:val="center"/>
          </w:tcPr>
          <w:p>
            <w:pPr>
              <w:spacing w:after="0"/>
            </w:pPr>
            <w:r/>
            <w:r>
              <w:rPr>
                <w:rFonts w:ascii="Aptos" w:hAnsi="Aptos"/>
                <w:b w:val="0"/>
                <w:sz w:val="16"/>
              </w:rPr>
              <w:t>Demonstrate supplier costs, payment/reimbursement requests, customer invoice approval, e-invoice status, vouchers, bank reconciliation and statements.</w:t>
            </w:r>
          </w:p>
        </w:tc>
      </w:tr>
      <w:tr>
        <w:tc>
          <w:tcPr>
            <w:tcW w:type="dxa" w:w="5083"/>
            <w:vAlign w:val="center"/>
            <w:shd w:fill="F1F5FA"/>
          </w:tcPr>
          <w:p>
            <w:pPr>
              <w:spacing w:after="0"/>
            </w:pPr>
            <w:r/>
            <w:r>
              <w:rPr>
                <w:rFonts w:ascii="Aptos" w:hAnsi="Aptos"/>
                <w:b w:val="0"/>
                <w:sz w:val="16"/>
              </w:rPr>
              <w:t>Exception-first operations</w:t>
            </w:r>
          </w:p>
        </w:tc>
        <w:tc>
          <w:tcPr>
            <w:tcW w:type="dxa" w:w="5083"/>
            <w:vAlign w:val="center"/>
            <w:shd w:fill="F1F5FA"/>
          </w:tcPr>
          <w:p>
            <w:pPr>
              <w:spacing w:after="0"/>
            </w:pPr>
            <w:r/>
            <w:r>
              <w:rPr>
                <w:rFonts w:ascii="Aptos" w:hAnsi="Aptos"/>
                <w:b w:val="0"/>
                <w:sz w:val="16"/>
              </w:rPr>
              <w:t>Surface customs/EDO pending, free-time expiry, overdue payment, long-stay cargo, missing documents and vehicle compliance reminders.</w:t>
            </w:r>
          </w:p>
        </w:tc>
      </w:tr>
      <w:tr>
        <w:tc>
          <w:tcPr>
            <w:tcW w:type="dxa" w:w="5083"/>
            <w:vAlign w:val="center"/>
          </w:tcPr>
          <w:p>
            <w:pPr>
              <w:spacing w:after="0"/>
            </w:pPr>
            <w:r/>
            <w:r>
              <w:rPr>
                <w:rFonts w:ascii="Aptos" w:hAnsi="Aptos"/>
                <w:b w:val="0"/>
                <w:sz w:val="16"/>
              </w:rPr>
              <w:t>Customer self-service</w:t>
            </w:r>
          </w:p>
        </w:tc>
        <w:tc>
          <w:tcPr>
            <w:tcW w:type="dxa" w:w="5083"/>
            <w:vAlign w:val="center"/>
          </w:tcPr>
          <w:p>
            <w:pPr>
              <w:spacing w:after="0"/>
            </w:pPr>
            <w:r/>
            <w:r>
              <w:rPr>
                <w:rFonts w:ascii="Aptos" w:hAnsi="Aptos"/>
                <w:b w:val="0"/>
                <w:sz w:val="16"/>
              </w:rPr>
              <w:t>Limit portal data to the customer's own shipments, approved documents and customer-facing charge categories.</w:t>
            </w:r>
          </w:p>
        </w:tc>
      </w:tr>
    </w:tbl>
    <w:p>
      <w:pPr>
        <w:spacing w:after="20"/>
      </w:pPr>
    </w:p>
    <w:p>
      <w:pPr>
        <w:pStyle w:val="Heading1"/>
      </w:pPr>
      <w:r>
        <w:t>2. Scope and Functional Modules</w:t>
      </w:r>
    </w:p>
    <w:p>
      <w:r>
        <w:t>Use the BRD DOCX terms as the UI labels and technical vocabulary. The consolidated scope below groups the requirements into screen-ready modules.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3052"/>
          </w:tcPr>
          <w:p>
            <w:pPr>
              <w:spacing w:after="0"/>
            </w:pPr>
            <w:r/>
            <w:r>
              <w:rPr>
                <w:rFonts w:ascii="Aptos" w:hAnsi="Aptos"/>
                <w:b/>
                <w:color w:val="FFFFFF"/>
                <w:sz w:val="17"/>
              </w:rPr>
              <w:t>Module</w:t>
            </w:r>
          </w:p>
        </w:tc>
        <w:tc>
          <w:tcPr>
            <w:tcW w:type="dxa" w:w="5083"/>
            <w:vAlign w:val="center"/>
            <w:shd w:fill="163052"/>
          </w:tcPr>
          <w:p>
            <w:pPr>
              <w:spacing w:after="0"/>
            </w:pPr>
            <w:r/>
            <w:r>
              <w:rPr>
                <w:rFonts w:ascii="Aptos" w:hAnsi="Aptos"/>
                <w:b/>
                <w:color w:val="FFFFFF"/>
                <w:sz w:val="17"/>
              </w:rPr>
              <w:t>Key capabilities / screens</w:t>
            </w:r>
          </w:p>
        </w:tc>
      </w:tr>
      <w:tr>
        <w:tc>
          <w:tcPr>
            <w:tcW w:type="dxa" w:w="5083"/>
            <w:vAlign w:val="center"/>
          </w:tcPr>
          <w:p>
            <w:pPr>
              <w:spacing w:after="0"/>
            </w:pPr>
            <w:r/>
            <w:r>
              <w:rPr>
                <w:rFonts w:ascii="Aptos" w:hAnsi="Aptos"/>
                <w:b w:val="0"/>
                <w:sz w:val="16"/>
              </w:rPr>
              <w:t>1. Quotations &amp; Tariffs</w:t>
            </w:r>
          </w:p>
        </w:tc>
        <w:tc>
          <w:tcPr>
            <w:tcW w:type="dxa" w:w="5083"/>
            <w:vAlign w:val="center"/>
          </w:tcPr>
          <w:p>
            <w:pPr>
              <w:spacing w:after="0"/>
            </w:pPr>
            <w:r/>
            <w:r>
              <w:rPr>
                <w:rFonts w:ascii="Aptos" w:hAnsi="Aptos"/>
                <w:b w:val="0"/>
                <w:sz w:val="16"/>
              </w:rPr>
              <w:t>Customer quotation builder; service lines; validity/status; supplier tariffs and carrier rates; effective dates; units/currency; accepted quotation carried into the job.</w:t>
            </w:r>
          </w:p>
        </w:tc>
      </w:tr>
      <w:tr>
        <w:tc>
          <w:tcPr>
            <w:tcW w:type="dxa" w:w="5083"/>
            <w:vAlign w:val="center"/>
            <w:shd w:fill="F1F5FA"/>
          </w:tcPr>
          <w:p>
            <w:pPr>
              <w:spacing w:after="0"/>
            </w:pPr>
            <w:r/>
            <w:r>
              <w:rPr>
                <w:rFonts w:ascii="Aptos" w:hAnsi="Aptos"/>
                <w:b w:val="0"/>
                <w:sz w:val="16"/>
              </w:rPr>
              <w:t>2. Job / Docket Management</w:t>
            </w:r>
          </w:p>
        </w:tc>
        <w:tc>
          <w:tcPr>
            <w:tcW w:type="dxa" w:w="5083"/>
            <w:vAlign w:val="center"/>
            <w:shd w:fill="F1F5FA"/>
          </w:tcPr>
          <w:p>
            <w:pPr>
              <w:spacing w:after="0"/>
            </w:pPr>
            <w:r/>
            <w:r>
              <w:rPr>
                <w:rFonts w:ascii="Aptos" w:hAnsi="Aptos"/>
                <w:b w:val="0"/>
                <w:sz w:val="16"/>
              </w:rPr>
              <w:t>Job list; create job; unique Job No.; job cover sheet; customer/service details; AI-assisted job capture from BL, commercial invoice, packing list and emails; milestones and follow-up.</w:t>
            </w:r>
          </w:p>
        </w:tc>
      </w:tr>
      <w:tr>
        <w:tc>
          <w:tcPr>
            <w:tcW w:type="dxa" w:w="5083"/>
            <w:vAlign w:val="center"/>
          </w:tcPr>
          <w:p>
            <w:pPr>
              <w:spacing w:after="0"/>
            </w:pPr>
            <w:r/>
            <w:r>
              <w:rPr>
                <w:rFonts w:ascii="Aptos" w:hAnsi="Aptos"/>
                <w:b w:val="0"/>
                <w:sz w:val="16"/>
              </w:rPr>
              <w:t>3. Freight Forwarding</w:t>
            </w:r>
          </w:p>
        </w:tc>
        <w:tc>
          <w:tcPr>
            <w:tcW w:type="dxa" w:w="5083"/>
            <w:vAlign w:val="center"/>
          </w:tcPr>
          <w:p>
            <w:pPr>
              <w:spacing w:after="0"/>
            </w:pPr>
            <w:r/>
            <w:r>
              <w:rPr>
                <w:rFonts w:ascii="Aptos" w:hAnsi="Aptos"/>
                <w:b w:val="0"/>
                <w:sz w:val="16"/>
              </w:rPr>
              <w:t>Booking; carrier/co-loader; vessel/voyage; ETA/ETD; FCL/LCL; import/export/transshipment; BL/HBL/MBL; container list; free days; demurrage/detention; shipment milestones; forwarding P&amp;L.</w:t>
            </w:r>
          </w:p>
        </w:tc>
      </w:tr>
      <w:tr>
        <w:tc>
          <w:tcPr>
            <w:tcW w:type="dxa" w:w="5083"/>
            <w:vAlign w:val="center"/>
            <w:shd w:fill="F1F5FA"/>
          </w:tcPr>
          <w:p>
            <w:pPr>
              <w:spacing w:after="0"/>
            </w:pPr>
            <w:r/>
            <w:r>
              <w:rPr>
                <w:rFonts w:ascii="Aptos" w:hAnsi="Aptos"/>
                <w:b w:val="0"/>
                <w:sz w:val="16"/>
              </w:rPr>
              <w:t>4. Customs Clearance</w:t>
            </w:r>
          </w:p>
        </w:tc>
        <w:tc>
          <w:tcPr>
            <w:tcW w:type="dxa" w:w="5083"/>
            <w:vAlign w:val="center"/>
            <w:shd w:fill="F1F5FA"/>
          </w:tcPr>
          <w:p>
            <w:pPr>
              <w:spacing w:after="0"/>
            </w:pPr>
            <w:r/>
            <w:r>
              <w:rPr>
                <w:rFonts w:ascii="Aptos" w:hAnsi="Aptos"/>
                <w:b w:val="0"/>
                <w:sz w:val="16"/>
              </w:rPr>
              <w:t>K1, K2, K3, K4, K5, K8, ZB, DG declaration, DSO and IGM records; duty/SST; customs payment; SSR; inspection/release; customs approval; EDO; gate pass; delivery lifecycle.</w:t>
            </w:r>
          </w:p>
        </w:tc>
      </w:tr>
      <w:tr>
        <w:tc>
          <w:tcPr>
            <w:tcW w:type="dxa" w:w="5083"/>
            <w:vAlign w:val="center"/>
          </w:tcPr>
          <w:p>
            <w:pPr>
              <w:spacing w:after="0"/>
            </w:pPr>
            <w:r/>
            <w:r>
              <w:rPr>
                <w:rFonts w:ascii="Aptos" w:hAnsi="Aptos"/>
                <w:b w:val="0"/>
                <w:sz w:val="16"/>
              </w:rPr>
              <w:t>5. Haulage / Trucking</w:t>
            </w:r>
          </w:p>
        </w:tc>
        <w:tc>
          <w:tcPr>
            <w:tcW w:type="dxa" w:w="5083"/>
            <w:vAlign w:val="center"/>
          </w:tcPr>
          <w:p>
            <w:pPr>
              <w:spacing w:after="0"/>
            </w:pPr>
            <w:r/>
            <w:r>
              <w:rPr>
                <w:rFonts w:ascii="Aptos" w:hAnsi="Aptos"/>
                <w:b w:val="0"/>
                <w:sz w:val="16"/>
              </w:rPr>
              <w:t>Truck, trailer and driver masters; trip planning; container assignment; pickup/delivery; port appointment; empty pickup, laden delivery, empty return; trip expenses; subcontracted trucking; GPS integration status; POD.</w:t>
            </w:r>
          </w:p>
        </w:tc>
      </w:tr>
      <w:tr>
        <w:tc>
          <w:tcPr>
            <w:tcW w:type="dxa" w:w="5083"/>
            <w:vAlign w:val="center"/>
            <w:shd w:fill="F1F5FA"/>
          </w:tcPr>
          <w:p>
            <w:pPr>
              <w:spacing w:after="0"/>
            </w:pPr>
            <w:r/>
            <w:r>
              <w:rPr>
                <w:rFonts w:ascii="Aptos" w:hAnsi="Aptos"/>
                <w:b w:val="0"/>
                <w:sz w:val="16"/>
              </w:rPr>
              <w:t>6. Warehouse &amp; Inventory</w:t>
            </w:r>
          </w:p>
        </w:tc>
        <w:tc>
          <w:tcPr>
            <w:tcW w:type="dxa" w:w="5083"/>
            <w:vAlign w:val="center"/>
            <w:shd w:fill="F1F5FA"/>
          </w:tcPr>
          <w:p>
            <w:pPr>
              <w:spacing w:after="0"/>
            </w:pPr>
            <w:r/>
            <w:r>
              <w:rPr>
                <w:rFonts w:ascii="Aptos" w:hAnsi="Aptos"/>
                <w:b w:val="0"/>
                <w:sz w:val="16"/>
              </w:rPr>
              <w:t>Inbound receiving; unloading; cargo count; damage/shortage photos; GRN; palletisation/labeling; stock by customer/job/container/SKU/carton/pallet/CBM/weight/bin/rack/batch/lot/expiry; outbound pick/pack/load/dispatch/POD.</w:t>
            </w:r>
          </w:p>
        </w:tc>
      </w:tr>
      <w:tr>
        <w:tc>
          <w:tcPr>
            <w:tcW w:type="dxa" w:w="5083"/>
            <w:vAlign w:val="center"/>
          </w:tcPr>
          <w:p>
            <w:pPr>
              <w:spacing w:after="0"/>
            </w:pPr>
            <w:r/>
            <w:r>
              <w:rPr>
                <w:rFonts w:ascii="Aptos" w:hAnsi="Aptos"/>
                <w:b w:val="0"/>
                <w:sz w:val="16"/>
              </w:rPr>
              <w:t>7. Storage Billing &amp; Handling</w:t>
            </w:r>
          </w:p>
        </w:tc>
        <w:tc>
          <w:tcPr>
            <w:tcW w:type="dxa" w:w="5083"/>
            <w:vAlign w:val="center"/>
          </w:tcPr>
          <w:p>
            <w:pPr>
              <w:spacing w:after="0"/>
            </w:pPr>
            <w:r/>
            <w:r>
              <w:rPr>
                <w:rFonts w:ascii="Aptos" w:hAnsi="Aptos"/>
                <w:b w:val="0"/>
                <w:sz w:val="16"/>
              </w:rPr>
              <w:t>Customer-specific free days and rate rules; storage period; charge calculation breakdown; handling events; draft charge suggestions; review, reasoned adjustment and approval.</w:t>
            </w:r>
          </w:p>
        </w:tc>
      </w:tr>
      <w:tr>
        <w:tc>
          <w:tcPr>
            <w:tcW w:type="dxa" w:w="5083"/>
            <w:vAlign w:val="center"/>
            <w:shd w:fill="F1F5FA"/>
          </w:tcPr>
          <w:p>
            <w:pPr>
              <w:spacing w:after="0"/>
            </w:pPr>
            <w:r/>
            <w:r>
              <w:rPr>
                <w:rFonts w:ascii="Aptos" w:hAnsi="Aptos"/>
                <w:b w:val="0"/>
                <w:sz w:val="16"/>
              </w:rPr>
              <w:t>8. Port / Container Tracking</w:t>
            </w:r>
          </w:p>
        </w:tc>
        <w:tc>
          <w:tcPr>
            <w:tcW w:type="dxa" w:w="5083"/>
            <w:vAlign w:val="center"/>
            <w:shd w:fill="F1F5FA"/>
          </w:tcPr>
          <w:p>
            <w:pPr>
              <w:spacing w:after="0"/>
            </w:pPr>
            <w:r/>
            <w:r>
              <w:rPr>
                <w:rFonts w:ascii="Aptos" w:hAnsi="Aptos"/>
                <w:b w:val="0"/>
                <w:sz w:val="16"/>
              </w:rPr>
              <w:t>Container search; linked Job No.; customer; milestones; ETA/ETD; last update; free-day expiry; demurrage/detention exposure; stale-data and overdue-milestone flags.</w:t>
            </w:r>
          </w:p>
        </w:tc>
      </w:tr>
      <w:tr>
        <w:tc>
          <w:tcPr>
            <w:tcW w:type="dxa" w:w="5083"/>
            <w:vAlign w:val="center"/>
          </w:tcPr>
          <w:p>
            <w:pPr>
              <w:spacing w:after="0"/>
            </w:pPr>
            <w:r/>
            <w:r>
              <w:rPr>
                <w:rFonts w:ascii="Aptos" w:hAnsi="Aptos"/>
                <w:b w:val="0"/>
                <w:sz w:val="16"/>
              </w:rPr>
              <w:t>9. Digital Document Management</w:t>
            </w:r>
          </w:p>
        </w:tc>
        <w:tc>
          <w:tcPr>
            <w:tcW w:type="dxa" w:w="5083"/>
            <w:vAlign w:val="center"/>
          </w:tcPr>
          <w:p>
            <w:pPr>
              <w:spacing w:after="0"/>
            </w:pPr>
            <w:r/>
            <w:r>
              <w:rPr>
                <w:rFonts w:ascii="Aptos" w:hAnsi="Aptos"/>
                <w:b w:val="0"/>
                <w:sz w:val="16"/>
              </w:rPr>
              <w:t>One digital folder per Job No.; invoices, packing lists, BL, customs documents, EDO, LOI, delivery order, gate pass, POD, photos and correspondence; upload, preview/download, classify and version history.</w:t>
            </w:r>
          </w:p>
        </w:tc>
      </w:tr>
      <w:tr>
        <w:tc>
          <w:tcPr>
            <w:tcW w:type="dxa" w:w="5083"/>
            <w:vAlign w:val="center"/>
            <w:shd w:fill="F1F5FA"/>
          </w:tcPr>
          <w:p>
            <w:pPr>
              <w:spacing w:after="0"/>
            </w:pPr>
            <w:r/>
            <w:r>
              <w:rPr>
                <w:rFonts w:ascii="Aptos" w:hAnsi="Aptos"/>
                <w:b w:val="0"/>
                <w:sz w:val="16"/>
              </w:rPr>
              <w:t>10. Customer Portal</w:t>
            </w:r>
          </w:p>
        </w:tc>
        <w:tc>
          <w:tcPr>
            <w:tcW w:type="dxa" w:w="5083"/>
            <w:vAlign w:val="center"/>
            <w:shd w:fill="F1F5FA"/>
          </w:tcPr>
          <w:p>
            <w:pPr>
              <w:spacing w:after="0"/>
            </w:pPr>
            <w:r/>
            <w:r>
              <w:rPr>
                <w:rFonts w:ascii="Aptos" w:hAnsi="Aptos"/>
                <w:b w:val="0"/>
                <w:sz w:val="16"/>
              </w:rPr>
              <w:t>Customer-scoped shipment list, Job/Shipment No., container No., status, ETA, approved BL/K1/DO/POD documents, customer-facing charge categories and last-updated timestamp.</w:t>
            </w:r>
          </w:p>
        </w:tc>
      </w:tr>
      <w:tr>
        <w:tc>
          <w:tcPr>
            <w:tcW w:type="dxa" w:w="5083"/>
            <w:vAlign w:val="center"/>
          </w:tcPr>
          <w:p>
            <w:pPr>
              <w:spacing w:after="0"/>
            </w:pPr>
            <w:r/>
            <w:r>
              <w:rPr>
                <w:rFonts w:ascii="Aptos" w:hAnsi="Aptos"/>
                <w:b w:val="0"/>
                <w:sz w:val="16"/>
              </w:rPr>
              <w:t>11. Billing, Accounts &amp; Finance</w:t>
            </w:r>
          </w:p>
        </w:tc>
        <w:tc>
          <w:tcPr>
            <w:tcW w:type="dxa" w:w="5083"/>
            <w:vAlign w:val="center"/>
          </w:tcPr>
          <w:p>
            <w:pPr>
              <w:spacing w:after="0"/>
            </w:pPr>
            <w:r/>
            <w:r>
              <w:rPr>
                <w:rFonts w:ascii="Aptos" w:hAnsi="Aptos"/>
                <w:b w:val="0"/>
                <w:sz w:val="16"/>
              </w:rPr>
              <w:t>Operational charge generation; supplier costs; reimbursement/payment requests; customer invoices; finance approval; LHDN MyInvois or configured e-invoice route; invoice emailing; supplier payment vouchers; manual vouchers; receivables/payables; bank reconciliation; P&amp;L and Balance Sheet.</w:t>
            </w:r>
          </w:p>
        </w:tc>
      </w:tr>
      <w:tr>
        <w:tc>
          <w:tcPr>
            <w:tcW w:type="dxa" w:w="5083"/>
            <w:vAlign w:val="center"/>
            <w:shd w:fill="F1F5FA"/>
          </w:tcPr>
          <w:p>
            <w:pPr>
              <w:spacing w:after="0"/>
            </w:pPr>
            <w:r/>
            <w:r>
              <w:rPr>
                <w:rFonts w:ascii="Aptos" w:hAnsi="Aptos"/>
                <w:b w:val="0"/>
                <w:sz w:val="16"/>
              </w:rPr>
              <w:t>12. Job Costing &amp; Profitability</w:t>
            </w:r>
          </w:p>
        </w:tc>
        <w:tc>
          <w:tcPr>
            <w:tcW w:type="dxa" w:w="5083"/>
            <w:vAlign w:val="center"/>
            <w:shd w:fill="F1F5FA"/>
          </w:tcPr>
          <w:p>
            <w:pPr>
              <w:spacing w:after="0"/>
            </w:pPr>
            <w:r/>
            <w:r>
              <w:rPr>
                <w:rFonts w:ascii="Aptos" w:hAnsi="Aptos"/>
                <w:b w:val="0"/>
                <w:sz w:val="16"/>
              </w:rPr>
              <w:t>Revenue, direct/estimated costs and gross profit by job/customer/shipment/department; applied rate; source event; approval/posting state; haulage profit per trip/job.</w:t>
            </w:r>
          </w:p>
        </w:tc>
      </w:tr>
      <w:tr>
        <w:tc>
          <w:tcPr>
            <w:tcW w:type="dxa" w:w="5083"/>
            <w:vAlign w:val="center"/>
          </w:tcPr>
          <w:p>
            <w:pPr>
              <w:spacing w:after="0"/>
            </w:pPr>
            <w:r/>
            <w:r>
              <w:rPr>
                <w:rFonts w:ascii="Aptos" w:hAnsi="Aptos"/>
                <w:b w:val="0"/>
                <w:sz w:val="16"/>
              </w:rPr>
              <w:t>13. Management Dashboard</w:t>
            </w:r>
          </w:p>
        </w:tc>
        <w:tc>
          <w:tcPr>
            <w:tcW w:type="dxa" w:w="5083"/>
            <w:vAlign w:val="center"/>
          </w:tcPr>
          <w:p>
            <w:pPr>
              <w:spacing w:after="0"/>
            </w:pPr>
            <w:r/>
            <w:r>
              <w:rPr>
                <w:rFonts w:ascii="Aptos" w:hAnsi="Aptos"/>
                <w:b w:val="0"/>
                <w:sz w:val="16"/>
              </w:rPr>
              <w:t>Daily operations counts; today's and MTD revenue; outstanding customer payments; supplier payables; job profitability; warehouse/haulage/forwarding revenue; exception lists and drill-down.</w:t>
            </w:r>
          </w:p>
        </w:tc>
      </w:tr>
      <w:tr>
        <w:tc>
          <w:tcPr>
            <w:tcW w:type="dxa" w:w="5083"/>
            <w:vAlign w:val="center"/>
            <w:shd w:fill="F1F5FA"/>
          </w:tcPr>
          <w:p>
            <w:pPr>
              <w:spacing w:after="0"/>
            </w:pPr>
            <w:r/>
            <w:r>
              <w:rPr>
                <w:rFonts w:ascii="Aptos" w:hAnsi="Aptos"/>
                <w:b w:val="0"/>
                <w:sz w:val="16"/>
              </w:rPr>
              <w:t>14. Alerts &amp; Reminders</w:t>
            </w:r>
          </w:p>
        </w:tc>
        <w:tc>
          <w:tcPr>
            <w:tcW w:type="dxa" w:w="5083"/>
            <w:vAlign w:val="center"/>
            <w:shd w:fill="F1F5FA"/>
          </w:tcPr>
          <w:p>
            <w:pPr>
              <w:spacing w:after="0"/>
            </w:pPr>
            <w:r/>
            <w:r>
              <w:rPr>
                <w:rFonts w:ascii="Aptos" w:hAnsi="Aptos"/>
                <w:b w:val="0"/>
                <w:sz w:val="16"/>
              </w:rPr>
              <w:t>Free-time expiry; EDO not released; overdue customer payment and age; long-stay cargo (example &gt;30 days); road tax/insurance due; missing documents; owner, due date, acknowledgement, status and escalation history.</w:t>
            </w:r>
          </w:p>
        </w:tc>
      </w:tr>
      <w:tr>
        <w:tc>
          <w:tcPr>
            <w:tcW w:type="dxa" w:w="5083"/>
            <w:vAlign w:val="center"/>
          </w:tcPr>
          <w:p>
            <w:pPr>
              <w:spacing w:after="0"/>
            </w:pPr>
            <w:r/>
            <w:r>
              <w:rPr>
                <w:rFonts w:ascii="Aptos" w:hAnsi="Aptos"/>
                <w:b w:val="0"/>
                <w:sz w:val="16"/>
              </w:rPr>
              <w:t>15. Master Data &amp; Access</w:t>
            </w:r>
          </w:p>
        </w:tc>
        <w:tc>
          <w:tcPr>
            <w:tcW w:type="dxa" w:w="5083"/>
            <w:vAlign w:val="center"/>
          </w:tcPr>
          <w:p>
            <w:pPr>
              <w:spacing w:after="0"/>
            </w:pPr>
            <w:r/>
            <w:r>
              <w:rPr>
                <w:rFonts w:ascii="Aptos" w:hAnsi="Aptos"/>
                <w:b w:val="0"/>
                <w:sz w:val="16"/>
              </w:rPr>
              <w:t>Customers, suppliers, carriers, trucks, trailers, drivers, warehouse/location and rates; role-based actions and record scoping; audit history.</w:t>
            </w:r>
          </w:p>
        </w:tc>
      </w:tr>
      <w:tr>
        <w:tc>
          <w:tcPr>
            <w:tcW w:type="dxa" w:w="5083"/>
            <w:vAlign w:val="center"/>
            <w:shd w:fill="F1F5FA"/>
          </w:tcPr>
          <w:p>
            <w:pPr>
              <w:spacing w:after="0"/>
            </w:pPr>
            <w:r/>
            <w:r>
              <w:rPr>
                <w:rFonts w:ascii="Aptos" w:hAnsi="Aptos"/>
                <w:b w:val="0"/>
                <w:sz w:val="16"/>
              </w:rPr>
              <w:t>16. Reports &amp; Reconciliation</w:t>
            </w:r>
          </w:p>
        </w:tc>
        <w:tc>
          <w:tcPr>
            <w:tcW w:type="dxa" w:w="5083"/>
            <w:vAlign w:val="center"/>
            <w:shd w:fill="F1F5FA"/>
          </w:tcPr>
          <w:p>
            <w:pPr>
              <w:spacing w:after="0"/>
            </w:pPr>
            <w:r/>
            <w:r>
              <w:rPr>
                <w:rFonts w:ascii="Aptos" w:hAnsi="Aptos"/>
                <w:b w:val="0"/>
                <w:sz w:val="16"/>
              </w:rPr>
              <w:t>P&amp;L, Balance Sheet, bank reconciliation, receivables/payables, job costing and operational reports with date/customer/job/department/status filters and authorized export.</w:t>
            </w:r>
          </w:p>
        </w:tc>
      </w:tr>
    </w:tbl>
    <w:p>
      <w:pPr>
        <w:spacing w:after="20"/>
      </w:pPr>
    </w:p>
    <w:p>
      <w:pPr>
        <w:pStyle w:val="Heading1"/>
      </w:pPr>
      <w:r>
        <w:t>3. End-to-End Workflow</w:t>
      </w:r>
    </w:p>
    <w:p>
      <w:pPr>
        <w:pStyle w:val="ListNumber"/>
        <w:spacing w:after="40"/>
      </w:pPr>
      <w:r>
        <w:t>Create customer quotation using configured supplier tariffs and service rates.</w:t>
      </w:r>
    </w:p>
    <w:p>
      <w:pPr>
        <w:pStyle w:val="ListNumber"/>
        <w:spacing w:after="40"/>
      </w:pPr>
      <w:r>
        <w:t>Accept quotation and create a job/docket with one Job No.; produce the job cover sheet and carry agreed charges forward.</w:t>
      </w:r>
    </w:p>
    <w:p>
      <w:pPr>
        <w:pStyle w:val="ListNumber"/>
        <w:spacing w:after="40"/>
      </w:pPr>
      <w:r>
        <w:t>Capture job details with AI assistance from shipment documents; require human review before committing important extracted values.</w:t>
      </w:r>
    </w:p>
    <w:p>
      <w:pPr>
        <w:pStyle w:val="ListNumber"/>
        <w:spacing w:after="40"/>
      </w:pPr>
      <w:r>
        <w:t>Record forwarding, customs, haulage and warehouse activity against the same Job No.; link containers, trips and documents.</w:t>
      </w:r>
    </w:p>
    <w:p>
      <w:pPr>
        <w:pStyle w:val="ListNumber"/>
        <w:spacing w:after="40"/>
      </w:pPr>
      <w:r>
        <w:t>Capture reimbursement/payment requests and supplier costs against the job, service and relevant container/trip where applicable.</w:t>
      </w:r>
    </w:p>
    <w:p>
      <w:pPr>
        <w:pStyle w:val="ListNumber"/>
        <w:spacing w:after="40"/>
      </w:pPr>
      <w:r>
        <w:t>Generate reviewable customer billing lines from operational events and agreed rates; flag performed-but-unbilled services.</w:t>
      </w:r>
    </w:p>
    <w:p>
      <w:pPr>
        <w:pStyle w:val="ListNumber"/>
        <w:spacing w:after="40"/>
      </w:pPr>
      <w:r>
        <w:t>Finance verifies and approves the customer invoice; submit through the configured e-invoice route and retain submission status/reference/error response.</w:t>
      </w:r>
    </w:p>
    <w:p>
      <w:pPr>
        <w:pStyle w:val="ListNumber"/>
        <w:spacing w:after="40"/>
      </w:pPr>
      <w:r>
        <w:t>Email the approved invoice and record send status.</w:t>
      </w:r>
    </w:p>
    <w:p>
      <w:pPr>
        <w:pStyle w:val="ListNumber"/>
        <w:spacing w:after="40"/>
      </w:pPr>
      <w:r>
        <w:t>Create supplier invoice/payment voucher workflow and manual vouchers for other bills according to confirmed posting rules.</w:t>
      </w:r>
    </w:p>
    <w:p>
      <w:pPr>
        <w:pStyle w:val="ListNumber"/>
        <w:spacing w:after="40"/>
      </w:pPr>
      <w:r>
        <w:t>Reconcile bank statements and produce monthly Profit &amp; Loss and Balance Sheet.</w:t>
      </w:r>
    </w:p>
    <w:p>
      <w:pPr>
        <w:pStyle w:val="ListNumber"/>
        <w:spacing w:after="40"/>
      </w:pPr>
      <w:r>
        <w:t>Provide management with pending work, follow-ups, billing exceptions and profitability. Prevent job closure when unbilled charges/costs or required documents remain unless an approved waiver/exception applies.</w:t>
      </w:r>
    </w:p>
    <w:p>
      <w:pPr>
        <w:pStyle w:val="Heading1"/>
      </w:pPr>
      <w:r>
        <w:t>4. User Roles &amp; Access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3052"/>
          </w:tcPr>
          <w:p>
            <w:pPr>
              <w:spacing w:after="0"/>
            </w:pPr>
            <w:r/>
            <w:r>
              <w:rPr>
                <w:rFonts w:ascii="Aptos" w:hAnsi="Aptos"/>
                <w:b/>
                <w:color w:val="FFFFFF"/>
                <w:sz w:val="17"/>
              </w:rPr>
              <w:t>Role</w:t>
            </w:r>
          </w:p>
        </w:tc>
        <w:tc>
          <w:tcPr>
            <w:tcW w:type="dxa" w:w="5083"/>
            <w:vAlign w:val="center"/>
            <w:shd w:fill="163052"/>
          </w:tcPr>
          <w:p>
            <w:pPr>
              <w:spacing w:after="0"/>
            </w:pPr>
            <w:r/>
            <w:r>
              <w:rPr>
                <w:rFonts w:ascii="Aptos" w:hAnsi="Aptos"/>
                <w:b/>
                <w:color w:val="FFFFFF"/>
                <w:sz w:val="17"/>
              </w:rPr>
              <w:t>Typical UI access (proposed; validate with client)</w:t>
            </w:r>
          </w:p>
        </w:tc>
      </w:tr>
      <w:tr>
        <w:tc>
          <w:tcPr>
            <w:tcW w:type="dxa" w:w="5083"/>
            <w:vAlign w:val="center"/>
          </w:tcPr>
          <w:p>
            <w:pPr>
              <w:spacing w:after="0"/>
            </w:pPr>
            <w:r/>
            <w:r>
              <w:rPr>
                <w:rFonts w:ascii="Aptos" w:hAnsi="Aptos"/>
                <w:b w:val="0"/>
                <w:sz w:val="16"/>
              </w:rPr>
              <w:t>System Administrator</w:t>
            </w:r>
          </w:p>
        </w:tc>
        <w:tc>
          <w:tcPr>
            <w:tcW w:type="dxa" w:w="5083"/>
            <w:vAlign w:val="center"/>
          </w:tcPr>
          <w:p>
            <w:pPr>
              <w:spacing w:after="0"/>
            </w:pPr>
            <w:r/>
            <w:r>
              <w:rPr>
                <w:rFonts w:ascii="Aptos" w:hAnsi="Aptos"/>
                <w:b w:val="0"/>
                <w:sz w:val="16"/>
              </w:rPr>
              <w:t>Users, roles, master data, configuration and integrations; routine financial approval disabled by default.</w:t>
            </w:r>
          </w:p>
        </w:tc>
      </w:tr>
      <w:tr>
        <w:tc>
          <w:tcPr>
            <w:tcW w:type="dxa" w:w="5083"/>
            <w:vAlign w:val="center"/>
            <w:shd w:fill="F1F5FA"/>
          </w:tcPr>
          <w:p>
            <w:pPr>
              <w:spacing w:after="0"/>
            </w:pPr>
            <w:r/>
            <w:r>
              <w:rPr>
                <w:rFonts w:ascii="Aptos" w:hAnsi="Aptos"/>
                <w:b w:val="0"/>
                <w:sz w:val="16"/>
              </w:rPr>
              <w:t>Management / Director</w:t>
            </w:r>
          </w:p>
        </w:tc>
        <w:tc>
          <w:tcPr>
            <w:tcW w:type="dxa" w:w="5083"/>
            <w:vAlign w:val="center"/>
            <w:shd w:fill="F1F5FA"/>
          </w:tcPr>
          <w:p>
            <w:pPr>
              <w:spacing w:after="0"/>
            </w:pPr>
            <w:r/>
            <w:r>
              <w:rPr>
                <w:rFonts w:ascii="Aptos" w:hAnsi="Aptos"/>
                <w:b w:val="0"/>
                <w:sz w:val="16"/>
              </w:rPr>
              <w:t>Cross-department dashboard, escalations, profitability and authorised reports.</w:t>
            </w:r>
          </w:p>
        </w:tc>
      </w:tr>
      <w:tr>
        <w:tc>
          <w:tcPr>
            <w:tcW w:type="dxa" w:w="5083"/>
            <w:vAlign w:val="center"/>
          </w:tcPr>
          <w:p>
            <w:pPr>
              <w:spacing w:after="0"/>
            </w:pPr>
            <w:r/>
            <w:r>
              <w:rPr>
                <w:rFonts w:ascii="Aptos" w:hAnsi="Aptos"/>
                <w:b w:val="0"/>
                <w:sz w:val="16"/>
              </w:rPr>
              <w:t>Customer Service / Job Coordinator</w:t>
            </w:r>
          </w:p>
        </w:tc>
        <w:tc>
          <w:tcPr>
            <w:tcW w:type="dxa" w:w="5083"/>
            <w:vAlign w:val="center"/>
          </w:tcPr>
          <w:p>
            <w:pPr>
              <w:spacing w:after="0"/>
            </w:pPr>
            <w:r/>
            <w:r>
              <w:rPr>
                <w:rFonts w:ascii="Aptos" w:hAnsi="Aptos"/>
                <w:b w:val="0"/>
                <w:sz w:val="16"/>
              </w:rPr>
              <w:t>Quotations, job creation, cover sheet, customer coordination, uploads and permitted follow-up.</w:t>
            </w:r>
          </w:p>
        </w:tc>
      </w:tr>
      <w:tr>
        <w:tc>
          <w:tcPr>
            <w:tcW w:type="dxa" w:w="5083"/>
            <w:vAlign w:val="center"/>
            <w:shd w:fill="F1F5FA"/>
          </w:tcPr>
          <w:p>
            <w:pPr>
              <w:spacing w:after="0"/>
            </w:pPr>
            <w:r/>
            <w:r>
              <w:rPr>
                <w:rFonts w:ascii="Aptos" w:hAnsi="Aptos"/>
                <w:b w:val="0"/>
                <w:sz w:val="16"/>
              </w:rPr>
              <w:t>Forwarding Operator</w:t>
            </w:r>
          </w:p>
        </w:tc>
        <w:tc>
          <w:tcPr>
            <w:tcW w:type="dxa" w:w="5083"/>
            <w:vAlign w:val="center"/>
            <w:shd w:fill="F1F5FA"/>
          </w:tcPr>
          <w:p>
            <w:pPr>
              <w:spacing w:after="0"/>
            </w:pPr>
            <w:r/>
            <w:r>
              <w:rPr>
                <w:rFonts w:ascii="Aptos" w:hAnsi="Aptos"/>
                <w:b w:val="0"/>
                <w:sz w:val="16"/>
              </w:rPr>
              <w:t>Bookings, BL/HBL/MBL, carrier/vessel details, container information and milestones.</w:t>
            </w:r>
          </w:p>
        </w:tc>
      </w:tr>
      <w:tr>
        <w:tc>
          <w:tcPr>
            <w:tcW w:type="dxa" w:w="5083"/>
            <w:vAlign w:val="center"/>
          </w:tcPr>
          <w:p>
            <w:pPr>
              <w:spacing w:after="0"/>
            </w:pPr>
            <w:r/>
            <w:r>
              <w:rPr>
                <w:rFonts w:ascii="Aptos" w:hAnsi="Aptos"/>
                <w:b w:val="0"/>
                <w:sz w:val="16"/>
              </w:rPr>
              <w:t>Customs Operator</w:t>
            </w:r>
          </w:p>
        </w:tc>
        <w:tc>
          <w:tcPr>
            <w:tcW w:type="dxa" w:w="5083"/>
            <w:vAlign w:val="center"/>
          </w:tcPr>
          <w:p>
            <w:pPr>
              <w:spacing w:after="0"/>
            </w:pPr>
            <w:r/>
            <w:r>
              <w:rPr>
                <w:rFonts w:ascii="Aptos" w:hAnsi="Aptos"/>
                <w:b w:val="0"/>
                <w:sz w:val="16"/>
              </w:rPr>
              <w:t>Declarations, duty/SST, customs payment/status, SSR, inspection, release and supporting documents.</w:t>
            </w:r>
          </w:p>
        </w:tc>
      </w:tr>
      <w:tr>
        <w:tc>
          <w:tcPr>
            <w:tcW w:type="dxa" w:w="5083"/>
            <w:vAlign w:val="center"/>
            <w:shd w:fill="F1F5FA"/>
          </w:tcPr>
          <w:p>
            <w:pPr>
              <w:spacing w:after="0"/>
            </w:pPr>
            <w:r/>
            <w:r>
              <w:rPr>
                <w:rFonts w:ascii="Aptos" w:hAnsi="Aptos"/>
                <w:b w:val="0"/>
                <w:sz w:val="16"/>
              </w:rPr>
              <w:t>Haulage Planner</w:t>
            </w:r>
          </w:p>
        </w:tc>
        <w:tc>
          <w:tcPr>
            <w:tcW w:type="dxa" w:w="5083"/>
            <w:vAlign w:val="center"/>
            <w:shd w:fill="F1F5FA"/>
          </w:tcPr>
          <w:p>
            <w:pPr>
              <w:spacing w:after="0"/>
            </w:pPr>
            <w:r/>
            <w:r>
              <w:rPr>
                <w:rFonts w:ascii="Aptos" w:hAnsi="Aptos"/>
                <w:b w:val="0"/>
                <w:sz w:val="16"/>
              </w:rPr>
              <w:t>Fleet/trip planning, port appointments, driver assignment, subcontractors, expenses and POD monitoring.</w:t>
            </w:r>
          </w:p>
        </w:tc>
      </w:tr>
      <w:tr>
        <w:tc>
          <w:tcPr>
            <w:tcW w:type="dxa" w:w="5083"/>
            <w:vAlign w:val="center"/>
          </w:tcPr>
          <w:p>
            <w:pPr>
              <w:spacing w:after="0"/>
            </w:pPr>
            <w:r/>
            <w:r>
              <w:rPr>
                <w:rFonts w:ascii="Aptos" w:hAnsi="Aptos"/>
                <w:b w:val="0"/>
                <w:sz w:val="16"/>
              </w:rPr>
              <w:t>Driver / Mobile User</w:t>
            </w:r>
          </w:p>
        </w:tc>
        <w:tc>
          <w:tcPr>
            <w:tcW w:type="dxa" w:w="5083"/>
            <w:vAlign w:val="center"/>
          </w:tcPr>
          <w:p>
            <w:pPr>
              <w:spacing w:after="0"/>
            </w:pPr>
            <w:r/>
            <w:r>
              <w:rPr>
                <w:rFonts w:ascii="Aptos" w:hAnsi="Aptos"/>
                <w:b w:val="0"/>
                <w:sz w:val="16"/>
              </w:rPr>
              <w:t>Assigned trips only; status updates, photo/signature POD and expense submission.</w:t>
            </w:r>
          </w:p>
        </w:tc>
      </w:tr>
      <w:tr>
        <w:tc>
          <w:tcPr>
            <w:tcW w:type="dxa" w:w="5083"/>
            <w:vAlign w:val="center"/>
            <w:shd w:fill="F1F5FA"/>
          </w:tcPr>
          <w:p>
            <w:pPr>
              <w:spacing w:after="0"/>
            </w:pPr>
            <w:r/>
            <w:r>
              <w:rPr>
                <w:rFonts w:ascii="Aptos" w:hAnsi="Aptos"/>
                <w:b w:val="0"/>
                <w:sz w:val="16"/>
              </w:rPr>
              <w:t>Warehouse Operator</w:t>
            </w:r>
          </w:p>
        </w:tc>
        <w:tc>
          <w:tcPr>
            <w:tcW w:type="dxa" w:w="5083"/>
            <w:vAlign w:val="center"/>
            <w:shd w:fill="F1F5FA"/>
          </w:tcPr>
          <w:p>
            <w:pPr>
              <w:spacing w:after="0"/>
            </w:pPr>
            <w:r/>
            <w:r>
              <w:rPr>
                <w:rFonts w:ascii="Aptos" w:hAnsi="Aptos"/>
                <w:b w:val="0"/>
                <w:sz w:val="16"/>
              </w:rPr>
              <w:t>Receiving, GRN, stock movements, damage/shortage evidence and dispatch.</w:t>
            </w:r>
          </w:p>
        </w:tc>
      </w:tr>
      <w:tr>
        <w:tc>
          <w:tcPr>
            <w:tcW w:type="dxa" w:w="5083"/>
            <w:vAlign w:val="center"/>
          </w:tcPr>
          <w:p>
            <w:pPr>
              <w:spacing w:after="0"/>
            </w:pPr>
            <w:r/>
            <w:r>
              <w:rPr>
                <w:rFonts w:ascii="Aptos" w:hAnsi="Aptos"/>
                <w:b w:val="0"/>
                <w:sz w:val="16"/>
              </w:rPr>
              <w:t>Finance Executive</w:t>
            </w:r>
          </w:p>
        </w:tc>
        <w:tc>
          <w:tcPr>
            <w:tcW w:type="dxa" w:w="5083"/>
            <w:vAlign w:val="center"/>
          </w:tcPr>
          <w:p>
            <w:pPr>
              <w:spacing w:after="0"/>
            </w:pPr>
            <w:r/>
            <w:r>
              <w:rPr>
                <w:rFonts w:ascii="Aptos" w:hAnsi="Aptos"/>
                <w:b w:val="0"/>
                <w:sz w:val="16"/>
              </w:rPr>
              <w:t>Supplier costs, draft invoices, e-invoice, vouchers, receivables/payables and reconciliation preparation.</w:t>
            </w:r>
          </w:p>
        </w:tc>
      </w:tr>
      <w:tr>
        <w:tc>
          <w:tcPr>
            <w:tcW w:type="dxa" w:w="5083"/>
            <w:vAlign w:val="center"/>
            <w:shd w:fill="F1F5FA"/>
          </w:tcPr>
          <w:p>
            <w:pPr>
              <w:spacing w:after="0"/>
            </w:pPr>
            <w:r/>
            <w:r>
              <w:rPr>
                <w:rFonts w:ascii="Aptos" w:hAnsi="Aptos"/>
                <w:b w:val="0"/>
                <w:sz w:val="16"/>
              </w:rPr>
              <w:t>Finance Approver</w:t>
            </w:r>
          </w:p>
        </w:tc>
        <w:tc>
          <w:tcPr>
            <w:tcW w:type="dxa" w:w="5083"/>
            <w:vAlign w:val="center"/>
            <w:shd w:fill="F1F5FA"/>
          </w:tcPr>
          <w:p>
            <w:pPr>
              <w:spacing w:after="0"/>
            </w:pPr>
            <w:r/>
            <w:r>
              <w:rPr>
                <w:rFonts w:ascii="Aptos" w:hAnsi="Aptos"/>
                <w:b w:val="0"/>
                <w:sz w:val="16"/>
              </w:rPr>
              <w:t>Approve/reject assigned invoices, costs and payment requests; return with reason; view audit history.</w:t>
            </w:r>
          </w:p>
        </w:tc>
      </w:tr>
      <w:tr>
        <w:tc>
          <w:tcPr>
            <w:tcW w:type="dxa" w:w="5083"/>
            <w:vAlign w:val="center"/>
          </w:tcPr>
          <w:p>
            <w:pPr>
              <w:spacing w:after="0"/>
            </w:pPr>
            <w:r/>
            <w:r>
              <w:rPr>
                <w:rFonts w:ascii="Aptos" w:hAnsi="Aptos"/>
                <w:b w:val="0"/>
                <w:sz w:val="16"/>
              </w:rPr>
              <w:t>Customer Portal User</w:t>
            </w:r>
          </w:p>
        </w:tc>
        <w:tc>
          <w:tcPr>
            <w:tcW w:type="dxa" w:w="5083"/>
            <w:vAlign w:val="center"/>
          </w:tcPr>
          <w:p>
            <w:pPr>
              <w:spacing w:after="0"/>
            </w:pPr>
            <w:r/>
            <w:r>
              <w:rPr>
                <w:rFonts w:ascii="Aptos" w:hAnsi="Aptos"/>
                <w:b w:val="0"/>
                <w:sz w:val="16"/>
              </w:rPr>
              <w:t>Read-only view of own organisation's shipments, approved documents and customer-facing charges.</w:t>
            </w:r>
          </w:p>
        </w:tc>
      </w:tr>
      <w:tr>
        <w:tc>
          <w:tcPr>
            <w:tcW w:type="dxa" w:w="5083"/>
            <w:vAlign w:val="center"/>
            <w:shd w:fill="F1F5FA"/>
          </w:tcPr>
          <w:p>
            <w:pPr>
              <w:spacing w:after="0"/>
            </w:pPr>
            <w:r/>
            <w:r>
              <w:rPr>
                <w:rFonts w:ascii="Aptos" w:hAnsi="Aptos"/>
                <w:b w:val="0"/>
                <w:sz w:val="16"/>
              </w:rPr>
              <w:t>Auditor / Read-only</w:t>
            </w:r>
          </w:p>
        </w:tc>
        <w:tc>
          <w:tcPr>
            <w:tcW w:type="dxa" w:w="5083"/>
            <w:vAlign w:val="center"/>
            <w:shd w:fill="F1F5FA"/>
          </w:tcPr>
          <w:p>
            <w:pPr>
              <w:spacing w:after="0"/>
            </w:pPr>
            <w:r/>
            <w:r>
              <w:rPr>
                <w:rFonts w:ascii="Aptos" w:hAnsi="Aptos"/>
                <w:b w:val="0"/>
                <w:sz w:val="16"/>
              </w:rPr>
              <w:t>Authorised records, reports and audit trail.</w:t>
            </w:r>
          </w:p>
        </w:tc>
      </w:tr>
    </w:tbl>
    <w:p>
      <w:pPr>
        <w:spacing w:after="20"/>
      </w:pPr>
    </w:p>
    <w:p>
      <w:r>
        <w:t>Security rules: enforce access at action and record level, not just by hiding buttons. Separate create/edit/submit/approve/post/cancel/void/export/view permissions. Portal users must not see internal supplier costs or profit margins by default. Record important changes, approvals, status transitions and document versions in an audit trail.</w:t>
      </w:r>
    </w:p>
    <w:p>
      <w:pPr>
        <w:pStyle w:val="Heading1"/>
      </w:pPr>
      <w:r>
        <w:t>5. Dashboard Metrics and Dynamic Values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3052"/>
          </w:tcPr>
          <w:p>
            <w:pPr>
              <w:spacing w:after="0"/>
            </w:pPr>
            <w:r/>
            <w:r>
              <w:rPr>
                <w:rFonts w:ascii="Aptos" w:hAnsi="Aptos"/>
                <w:b/>
                <w:color w:val="FFFFFF"/>
                <w:sz w:val="17"/>
              </w:rPr>
              <w:t>Dashboard area</w:t>
            </w:r>
          </w:p>
        </w:tc>
        <w:tc>
          <w:tcPr>
            <w:tcW w:type="dxa" w:w="5083"/>
            <w:vAlign w:val="center"/>
            <w:shd w:fill="163052"/>
          </w:tcPr>
          <w:p>
            <w:pPr>
              <w:spacing w:after="0"/>
            </w:pPr>
            <w:r/>
            <w:r>
              <w:rPr>
                <w:rFonts w:ascii="Aptos" w:hAnsi="Aptos"/>
                <w:b/>
                <w:color w:val="FFFFFF"/>
                <w:sz w:val="17"/>
              </w:rPr>
              <w:t>Dynamic values / drill-down</w:t>
            </w:r>
          </w:p>
        </w:tc>
      </w:tr>
      <w:tr>
        <w:tc>
          <w:tcPr>
            <w:tcW w:type="dxa" w:w="5083"/>
            <w:vAlign w:val="center"/>
          </w:tcPr>
          <w:p>
            <w:pPr>
              <w:spacing w:after="0"/>
            </w:pPr>
            <w:r/>
            <w:r>
              <w:rPr>
                <w:rFonts w:ascii="Aptos" w:hAnsi="Aptos"/>
                <w:b w:val="0"/>
                <w:sz w:val="16"/>
              </w:rPr>
              <w:t>Daily Operations</w:t>
            </w:r>
          </w:p>
        </w:tc>
        <w:tc>
          <w:tcPr>
            <w:tcW w:type="dxa" w:w="5083"/>
            <w:vAlign w:val="center"/>
          </w:tcPr>
          <w:p>
            <w:pPr>
              <w:spacing w:after="0"/>
            </w:pPr>
            <w:r/>
            <w:r>
              <w:rPr>
                <w:rFonts w:ascii="Aptos" w:hAnsi="Aptos"/>
                <w:b w:val="0"/>
                <w:sz w:val="16"/>
              </w:rPr>
              <w:t>Deliveries today; containers arriving; customs pending; EDO pending; warehouse deliveries; trucks required; each row links to open jobs/containers/trips with owner, date, status and next action.</w:t>
            </w:r>
          </w:p>
        </w:tc>
      </w:tr>
      <w:tr>
        <w:tc>
          <w:tcPr>
            <w:tcW w:type="dxa" w:w="5083"/>
            <w:vAlign w:val="center"/>
            <w:shd w:fill="F1F5FA"/>
          </w:tcPr>
          <w:p>
            <w:pPr>
              <w:spacing w:after="0"/>
            </w:pPr>
            <w:r/>
            <w:r>
              <w:rPr>
                <w:rFonts w:ascii="Aptos" w:hAnsi="Aptos"/>
                <w:b w:val="0"/>
                <w:sz w:val="16"/>
              </w:rPr>
              <w:t>Financial Summary</w:t>
            </w:r>
          </w:p>
        </w:tc>
        <w:tc>
          <w:tcPr>
            <w:tcW w:type="dxa" w:w="5083"/>
            <w:vAlign w:val="center"/>
            <w:shd w:fill="F1F5FA"/>
          </w:tcPr>
          <w:p>
            <w:pPr>
              <w:spacing w:after="0"/>
            </w:pPr>
            <w:r/>
            <w:r>
              <w:rPr>
                <w:rFonts w:ascii="Aptos" w:hAnsi="Aptos"/>
                <w:b w:val="0"/>
                <w:sz w:val="16"/>
              </w:rPr>
              <w:t>Today's revenue; month-to-date revenue; outstanding customer payments; supplier payable; invoice ageing; drill-down to invoices, receipts/payments, supplier bills and job-cost lines.</w:t>
            </w:r>
          </w:p>
        </w:tc>
      </w:tr>
      <w:tr>
        <w:tc>
          <w:tcPr>
            <w:tcW w:type="dxa" w:w="5083"/>
            <w:vAlign w:val="center"/>
          </w:tcPr>
          <w:p>
            <w:pPr>
              <w:spacing w:after="0"/>
            </w:pPr>
            <w:r/>
            <w:r>
              <w:rPr>
                <w:rFonts w:ascii="Aptos" w:hAnsi="Aptos"/>
                <w:b w:val="0"/>
                <w:sz w:val="16"/>
              </w:rPr>
              <w:t>Job Costing</w:t>
            </w:r>
          </w:p>
        </w:tc>
        <w:tc>
          <w:tcPr>
            <w:tcW w:type="dxa" w:w="5083"/>
            <w:vAlign w:val="center"/>
          </w:tcPr>
          <w:p>
            <w:pPr>
              <w:spacing w:after="0"/>
            </w:pPr>
            <w:r/>
            <w:r>
              <w:rPr>
                <w:rFonts w:ascii="Aptos" w:hAnsi="Aptos"/>
                <w:b w:val="0"/>
                <w:sz w:val="16"/>
              </w:rPr>
              <w:t>Revenue, direct/estimated cost and gross profit; margin percentage; breakdown by forwarding, customs, haulage and warehouse; applied rate and approval/posting state.</w:t>
            </w:r>
          </w:p>
        </w:tc>
      </w:tr>
      <w:tr>
        <w:tc>
          <w:tcPr>
            <w:tcW w:type="dxa" w:w="5083"/>
            <w:vAlign w:val="center"/>
            <w:shd w:fill="F1F5FA"/>
          </w:tcPr>
          <w:p>
            <w:pPr>
              <w:spacing w:after="0"/>
            </w:pPr>
            <w:r/>
            <w:r>
              <w:rPr>
                <w:rFonts w:ascii="Aptos" w:hAnsi="Aptos"/>
                <w:b w:val="0"/>
                <w:sz w:val="16"/>
              </w:rPr>
              <w:t>Warehouse / Storage</w:t>
            </w:r>
          </w:p>
        </w:tc>
        <w:tc>
          <w:tcPr>
            <w:tcW w:type="dxa" w:w="5083"/>
            <w:vAlign w:val="center"/>
            <w:shd w:fill="F1F5FA"/>
          </w:tcPr>
          <w:p>
            <w:pPr>
              <w:spacing w:after="0"/>
            </w:pPr>
            <w:r/>
            <w:r>
              <w:rPr>
                <w:rFonts w:ascii="Aptos" w:hAnsi="Aptos"/>
                <w:b w:val="0"/>
                <w:sz w:val="16"/>
              </w:rPr>
              <w:t>Stock in/out/balance; long-stay cargo; storage period and charge estimate; customer, SKU, location, CBM/pallet/carton and applied storage rate.</w:t>
            </w:r>
          </w:p>
        </w:tc>
      </w:tr>
      <w:tr>
        <w:tc>
          <w:tcPr>
            <w:tcW w:type="dxa" w:w="5083"/>
            <w:vAlign w:val="center"/>
          </w:tcPr>
          <w:p>
            <w:pPr>
              <w:spacing w:after="0"/>
            </w:pPr>
            <w:r/>
            <w:r>
              <w:rPr>
                <w:rFonts w:ascii="Aptos" w:hAnsi="Aptos"/>
                <w:b w:val="0"/>
                <w:sz w:val="16"/>
              </w:rPr>
              <w:t>Alerts</w:t>
            </w:r>
          </w:p>
        </w:tc>
        <w:tc>
          <w:tcPr>
            <w:tcW w:type="dxa" w:w="5083"/>
            <w:vAlign w:val="center"/>
          </w:tcPr>
          <w:p>
            <w:pPr>
              <w:spacing w:after="0"/>
            </w:pPr>
            <w:r/>
            <w:r>
              <w:rPr>
                <w:rFonts w:ascii="Aptos" w:hAnsi="Aptos"/>
                <w:b w:val="0"/>
                <w:sz w:val="16"/>
              </w:rPr>
              <w:t>Alert type, linked record, owner, due date, age/severity, acknowledgement, escalation, resolution and next action.</w:t>
            </w:r>
          </w:p>
        </w:tc>
      </w:tr>
      <w:tr>
        <w:tc>
          <w:tcPr>
            <w:tcW w:type="dxa" w:w="5083"/>
            <w:vAlign w:val="center"/>
            <w:shd w:fill="F1F5FA"/>
          </w:tcPr>
          <w:p>
            <w:pPr>
              <w:spacing w:after="0"/>
            </w:pPr>
            <w:r/>
            <w:r>
              <w:rPr>
                <w:rFonts w:ascii="Aptos" w:hAnsi="Aptos"/>
                <w:b w:val="0"/>
                <w:sz w:val="16"/>
              </w:rPr>
              <w:t>Shipment / Container</w:t>
            </w:r>
          </w:p>
        </w:tc>
        <w:tc>
          <w:tcPr>
            <w:tcW w:type="dxa" w:w="5083"/>
            <w:vAlign w:val="center"/>
            <w:shd w:fill="F1F5FA"/>
          </w:tcPr>
          <w:p>
            <w:pPr>
              <w:spacing w:after="0"/>
            </w:pPr>
            <w:r/>
            <w:r>
              <w:rPr>
                <w:rFonts w:ascii="Aptos" w:hAnsi="Aptos"/>
                <w:b w:val="0"/>
                <w:sz w:val="16"/>
              </w:rPr>
              <w:t>Job No., container No., current milestone, ETA/ETD, free days remaining, tracking source (manual/imported/integration-verified) and last updated time.</w:t>
            </w:r>
          </w:p>
        </w:tc>
      </w:tr>
      <w:tr>
        <w:tc>
          <w:tcPr>
            <w:tcW w:type="dxa" w:w="5083"/>
            <w:vAlign w:val="center"/>
          </w:tcPr>
          <w:p>
            <w:pPr>
              <w:spacing w:after="0"/>
            </w:pPr>
            <w:r/>
            <w:r>
              <w:rPr>
                <w:rFonts w:ascii="Aptos" w:hAnsi="Aptos"/>
                <w:b w:val="0"/>
                <w:sz w:val="16"/>
              </w:rPr>
              <w:t>Finance</w:t>
            </w:r>
          </w:p>
        </w:tc>
        <w:tc>
          <w:tcPr>
            <w:tcW w:type="dxa" w:w="5083"/>
            <w:vAlign w:val="center"/>
          </w:tcPr>
          <w:p>
            <w:pPr>
              <w:spacing w:after="0"/>
            </w:pPr>
            <w:r/>
            <w:r>
              <w:rPr>
                <w:rFonts w:ascii="Aptos" w:hAnsi="Aptos"/>
                <w:b w:val="0"/>
                <w:sz w:val="16"/>
              </w:rPr>
              <w:t>Invoice status, e-invoice status/reference, receivable/payable, voucher status, reconciliation status, P&amp;L and Balance Sheet reporting period.</w:t>
            </w:r>
          </w:p>
        </w:tc>
      </w:tr>
    </w:tbl>
    <w:p>
      <w:pPr>
        <w:spacing w:after="20"/>
      </w:pPr>
    </w:p>
    <w:p>
      <w:r>
        <w:t>All values must be dynamic from a shared mock data model, not static text baked into components. Use realistic sample records and derive totals, percentages, status counts, charts and table rows from those records. Provide date, customer, Job No., department and status filters where relevant. Clearly label demo data; do not imply that GPS, e-invoice, customs, bank or email integrations are live.</w:t>
      </w:r>
    </w:p>
    <w:p>
      <w:pPr>
        <w:pStyle w:val="Heading1"/>
      </w:pPr>
      <w:r>
        <w:t>6. Important Business Rules and Pending Clarifications</w:t>
      </w:r>
    </w:p>
    <w:p>
      <w:pPr>
        <w:pStyle w:val="ListBullet"/>
        <w:spacing w:after="40"/>
      </w:pPr>
      <w:r>
        <w:t>A Job No. is the cross-department key. A job may link to multiple containers, trips, warehouse movements, documents, charges and invoices, subject to confirmed granularity rules.</w:t>
      </w:r>
    </w:p>
    <w:p>
      <w:pPr>
        <w:pStyle w:val="ListBullet"/>
        <w:spacing w:after="40"/>
      </w:pPr>
      <w:r>
        <w:t>Keep operational status separate from financial status: a delivered job may still be unbilled, unpaid or unreconciled.</w:t>
      </w:r>
    </w:p>
    <w:p>
      <w:pPr>
        <w:pStyle w:val="ListBullet"/>
        <w:spacing w:after="40"/>
      </w:pPr>
      <w:r>
        <w:t>Every charge/cost should identify its source (rate card, operational event, manual entry or integration) and its status (draft, reviewed, approved, posted, reversed where relevant).</w:t>
      </w:r>
    </w:p>
    <w:p>
      <w:pPr>
        <w:pStyle w:val="ListBullet"/>
        <w:spacing w:after="40"/>
      </w:pPr>
      <w:r>
        <w:t>Generated charges remain drafts until reviewed/approved. Preserve source event, applied rate, evidence and approval/posting state.</w:t>
      </w:r>
    </w:p>
    <w:p>
      <w:pPr>
        <w:pStyle w:val="ListBullet"/>
        <w:spacing w:after="40"/>
      </w:pPr>
      <w:r>
        <w:t>Do not silently delete posted finance records; use controlled cancellation, reversal or credit-note processes approved by Finance.</w:t>
      </w:r>
    </w:p>
    <w:p>
      <w:pPr>
        <w:pStyle w:val="ListBullet"/>
        <w:spacing w:after="40"/>
      </w:pPr>
      <w:r>
        <w:t>Do not treat document upload alone as proof of customs approval or release.</w:t>
      </w:r>
    </w:p>
    <w:p>
      <w:pPr>
        <w:pStyle w:val="ListBullet"/>
        <w:spacing w:after="40"/>
      </w:pPr>
      <w:r>
        <w:t>Customer-specific storage examples are illustrative: Customer A 3 free days then RM3/CBM/day; Customer B RM8/pallet/day; Customer C RM5/carton/month. Show the calculation breakdown and avoid duplicate billing for the same period/event.</w:t>
      </w:r>
    </w:p>
    <w:p>
      <w:pPr>
        <w:pStyle w:val="ListBullet"/>
        <w:spacing w:after="40"/>
      </w:pPr>
      <w:r>
        <w:t>Example haulage calculation: RM1,200 billing − RM700 trucking − RM80 toll − RM50 other cost = RM370 profit. Distinguish actual from estimated costs.</w:t>
      </w:r>
    </w:p>
    <w:p>
      <w:pPr>
        <w:pStyle w:val="ListBullet"/>
        <w:spacing w:after="40"/>
      </w:pPr>
      <w:r>
        <w:t>Job numbering example: SKI2610028. Confirm exact numbering rule before treating it as final.</w:t>
      </w:r>
    </w:p>
    <w:p>
      <w:pPr>
        <w:pStyle w:val="ListBullet"/>
        <w:spacing w:after="40"/>
      </w:pPr>
      <w:r>
        <w:t>RM is the base currency assumption. Multi-currency, exchange rates and tax handling need confirmation.</w:t>
      </w:r>
    </w:p>
    <w:p>
      <w:pPr>
        <w:pStyle w:val="ListBullet"/>
        <w:spacing w:after="40"/>
      </w:pPr>
      <w:r>
        <w:t>E-invoicing is assumed to use LHDN MyInvois directly or through middleware; the provider, credentials and exact route remain to be confirmed.</w:t>
      </w:r>
    </w:p>
    <w:p>
      <w:pPr>
        <w:pStyle w:val="ListBullet"/>
        <w:spacing w:after="40"/>
      </w:pPr>
      <w:r>
        <w:t>Customs declarations are assumed to be recorded in the app while lodgement uses an existing customs channel; direct integration/lodgement is not confirmed.</w:t>
      </w:r>
    </w:p>
    <w:p>
      <w:pPr>
        <w:pStyle w:val="ListBullet"/>
        <w:spacing w:after="40"/>
      </w:pPr>
      <w:r>
        <w:t>AI-assisted job capture is an assistant for extraction/suggestion, not unsupervised final approval. Sample documents and confidence/validation rules are needed.</w:t>
      </w:r>
    </w:p>
    <w:p>
      <w:pPr>
        <w:pStyle w:val="ListBullet"/>
        <w:spacing w:after="40"/>
      </w:pPr>
      <w:r>
        <w:t>GPS, carrier/port tracking, bank statement formats, email sending, user/branch counts, transaction volumes, approval thresholds, reporting formulas, time zone, data retention and migration rules need client confirmation.</w:t>
      </w:r>
    </w:p>
    <w:p>
      <w:pPr>
        <w:pStyle w:val="Heading1"/>
      </w:pPr>
      <w:r>
        <w:t>7. Frontend Mockup Scope and Visual Direction</w:t>
      </w:r>
    </w:p>
    <w:p>
      <w:r>
        <w:t>Build a modern B2B logistics operations workspace inspired by the supplied RoutaX-style reference: cool blue-gray canvas, white rounded cards, restrained shadows, compact navigation, clear data density, blue primary actions (#3783FF), amber attention states (#EFB54A), dark text and accessible contrast. Use a responsive sidebar/top navigation and a consistent component library.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3052"/>
          </w:tcPr>
          <w:p>
            <w:pPr>
              <w:spacing w:after="0"/>
            </w:pPr>
            <w:r/>
            <w:r>
              <w:rPr>
                <w:rFonts w:ascii="Aptos" w:hAnsi="Aptos"/>
                <w:b/>
                <w:color w:val="FFFFFF"/>
                <w:sz w:val="17"/>
              </w:rPr>
              <w:t>Screen</w:t>
            </w:r>
          </w:p>
        </w:tc>
        <w:tc>
          <w:tcPr>
            <w:tcW w:type="dxa" w:w="5083"/>
            <w:vAlign w:val="center"/>
            <w:shd w:fill="163052"/>
          </w:tcPr>
          <w:p>
            <w:pPr>
              <w:spacing w:after="0"/>
            </w:pPr>
            <w:r/>
            <w:r>
              <w:rPr>
                <w:rFonts w:ascii="Aptos" w:hAnsi="Aptos"/>
                <w:b/>
                <w:color w:val="FFFFFF"/>
                <w:sz w:val="17"/>
              </w:rPr>
              <w:t>Required mockup contents</w:t>
            </w:r>
          </w:p>
        </w:tc>
      </w:tr>
      <w:tr>
        <w:tc>
          <w:tcPr>
            <w:tcW w:type="dxa" w:w="5083"/>
            <w:vAlign w:val="center"/>
          </w:tcPr>
          <w:p>
            <w:pPr>
              <w:spacing w:after="0"/>
            </w:pPr>
            <w:r/>
            <w:r>
              <w:rPr>
                <w:rFonts w:ascii="Aptos" w:hAnsi="Aptos"/>
                <w:b w:val="0"/>
                <w:sz w:val="16"/>
              </w:rPr>
              <w:t>Management Dashboard</w:t>
            </w:r>
          </w:p>
        </w:tc>
        <w:tc>
          <w:tcPr>
            <w:tcW w:type="dxa" w:w="5083"/>
            <w:vAlign w:val="center"/>
          </w:tcPr>
          <w:p>
            <w:pPr>
              <w:spacing w:after="0"/>
            </w:pPr>
            <w:r/>
            <w:r>
              <w:rPr>
                <w:rFonts w:ascii="Aptos" w:hAnsi="Aptos"/>
                <w:b w:val="0"/>
                <w:sz w:val="16"/>
              </w:rPr>
              <w:t>KPI cards, daily operations, revenue and payables, job profitability, shipment exceptions, alerts, quick actions and drill-down tables.</w:t>
            </w:r>
          </w:p>
        </w:tc>
      </w:tr>
      <w:tr>
        <w:tc>
          <w:tcPr>
            <w:tcW w:type="dxa" w:w="5083"/>
            <w:vAlign w:val="center"/>
            <w:shd w:fill="F1F5FA"/>
          </w:tcPr>
          <w:p>
            <w:pPr>
              <w:spacing w:after="0"/>
            </w:pPr>
            <w:r/>
            <w:r>
              <w:rPr>
                <w:rFonts w:ascii="Aptos" w:hAnsi="Aptos"/>
                <w:b w:val="0"/>
                <w:sz w:val="16"/>
              </w:rPr>
              <w:t>Jobs / Dockets</w:t>
            </w:r>
          </w:p>
        </w:tc>
        <w:tc>
          <w:tcPr>
            <w:tcW w:type="dxa" w:w="5083"/>
            <w:vAlign w:val="center"/>
            <w:shd w:fill="F1F5FA"/>
          </w:tcPr>
          <w:p>
            <w:pPr>
              <w:spacing w:after="0"/>
            </w:pPr>
            <w:r/>
            <w:r>
              <w:rPr>
                <w:rFonts w:ascii="Aptos" w:hAnsi="Aptos"/>
                <w:b w:val="0"/>
                <w:sz w:val="16"/>
              </w:rPr>
              <w:t>Search/filter/sort jobs, create job, job cover sheet, workflow progress, operational and financial statuses, missing documents and unbilled charges.</w:t>
            </w:r>
          </w:p>
        </w:tc>
      </w:tr>
      <w:tr>
        <w:tc>
          <w:tcPr>
            <w:tcW w:type="dxa" w:w="5083"/>
            <w:vAlign w:val="center"/>
          </w:tcPr>
          <w:p>
            <w:pPr>
              <w:spacing w:after="0"/>
            </w:pPr>
            <w:r/>
            <w:r>
              <w:rPr>
                <w:rFonts w:ascii="Aptos" w:hAnsi="Aptos"/>
                <w:b w:val="0"/>
                <w:sz w:val="16"/>
              </w:rPr>
              <w:t>Job Detail Workspace</w:t>
            </w:r>
          </w:p>
        </w:tc>
        <w:tc>
          <w:tcPr>
            <w:tcW w:type="dxa" w:w="5083"/>
            <w:vAlign w:val="center"/>
          </w:tcPr>
          <w:p>
            <w:pPr>
              <w:spacing w:after="0"/>
            </w:pPr>
            <w:r/>
            <w:r>
              <w:rPr>
                <w:rFonts w:ascii="Aptos" w:hAnsi="Aptos"/>
                <w:b w:val="0"/>
                <w:sz w:val="16"/>
              </w:rPr>
              <w:t>Tabs for Overview, Forwarding, Customs, Haulage, Warehouse, Documents, Charges &amp; Costs, Invoices, Job Costing and Activity/Audit Trail.</w:t>
            </w:r>
          </w:p>
        </w:tc>
      </w:tr>
      <w:tr>
        <w:tc>
          <w:tcPr>
            <w:tcW w:type="dxa" w:w="5083"/>
            <w:vAlign w:val="center"/>
            <w:shd w:fill="F1F5FA"/>
          </w:tcPr>
          <w:p>
            <w:pPr>
              <w:spacing w:after="0"/>
            </w:pPr>
            <w:r/>
            <w:r>
              <w:rPr>
                <w:rFonts w:ascii="Aptos" w:hAnsi="Aptos"/>
                <w:b w:val="0"/>
                <w:sz w:val="16"/>
              </w:rPr>
              <w:t>Quotations &amp; Tariffs</w:t>
            </w:r>
          </w:p>
        </w:tc>
        <w:tc>
          <w:tcPr>
            <w:tcW w:type="dxa" w:w="5083"/>
            <w:vAlign w:val="center"/>
            <w:shd w:fill="F1F5FA"/>
          </w:tcPr>
          <w:p>
            <w:pPr>
              <w:spacing w:after="0"/>
            </w:pPr>
            <w:r/>
            <w:r>
              <w:rPr>
                <w:rFonts w:ascii="Aptos" w:hAnsi="Aptos"/>
                <w:b w:val="0"/>
                <w:sz w:val="16"/>
              </w:rPr>
              <w:t>Quotation list/detail, service-line editor, rate card, validity/status and accept-to-create-job action.</w:t>
            </w:r>
          </w:p>
        </w:tc>
      </w:tr>
      <w:tr>
        <w:tc>
          <w:tcPr>
            <w:tcW w:type="dxa" w:w="5083"/>
            <w:vAlign w:val="center"/>
          </w:tcPr>
          <w:p>
            <w:pPr>
              <w:spacing w:after="0"/>
            </w:pPr>
            <w:r/>
            <w:r>
              <w:rPr>
                <w:rFonts w:ascii="Aptos" w:hAnsi="Aptos"/>
                <w:b w:val="0"/>
                <w:sz w:val="16"/>
              </w:rPr>
              <w:t>Freight Forwarding &amp; Containers</w:t>
            </w:r>
          </w:p>
        </w:tc>
        <w:tc>
          <w:tcPr>
            <w:tcW w:type="dxa" w:w="5083"/>
            <w:vAlign w:val="center"/>
          </w:tcPr>
          <w:p>
            <w:pPr>
              <w:spacing w:after="0"/>
            </w:pPr>
            <w:r/>
            <w:r>
              <w:rPr>
                <w:rFonts w:ascii="Aptos" w:hAnsi="Aptos"/>
                <w:b w:val="0"/>
                <w:sz w:val="16"/>
              </w:rPr>
              <w:t>Booking/voyage/BL data, container table, ETA/ETD, milestone timeline, free days, demurrage/detention and tracking source.</w:t>
            </w:r>
          </w:p>
        </w:tc>
      </w:tr>
      <w:tr>
        <w:tc>
          <w:tcPr>
            <w:tcW w:type="dxa" w:w="5083"/>
            <w:vAlign w:val="center"/>
            <w:shd w:fill="F1F5FA"/>
          </w:tcPr>
          <w:p>
            <w:pPr>
              <w:spacing w:after="0"/>
            </w:pPr>
            <w:r/>
            <w:r>
              <w:rPr>
                <w:rFonts w:ascii="Aptos" w:hAnsi="Aptos"/>
                <w:b w:val="0"/>
                <w:sz w:val="16"/>
              </w:rPr>
              <w:t>Customs Clearance</w:t>
            </w:r>
          </w:p>
        </w:tc>
        <w:tc>
          <w:tcPr>
            <w:tcW w:type="dxa" w:w="5083"/>
            <w:vAlign w:val="center"/>
            <w:shd w:fill="F1F5FA"/>
          </w:tcPr>
          <w:p>
            <w:pPr>
              <w:spacing w:after="0"/>
            </w:pPr>
            <w:r/>
            <w:r>
              <w:rPr>
                <w:rFonts w:ascii="Aptos" w:hAnsi="Aptos"/>
                <w:b w:val="0"/>
                <w:sz w:val="16"/>
              </w:rPr>
              <w:t>Declaration type and status, duty/SST/payment, SSR, inspection/release, customs approval, EDO, gate pass and evidence list.</w:t>
            </w:r>
          </w:p>
        </w:tc>
      </w:tr>
      <w:tr>
        <w:tc>
          <w:tcPr>
            <w:tcW w:type="dxa" w:w="5083"/>
            <w:vAlign w:val="center"/>
          </w:tcPr>
          <w:p>
            <w:pPr>
              <w:spacing w:after="0"/>
            </w:pPr>
            <w:r/>
            <w:r>
              <w:rPr>
                <w:rFonts w:ascii="Aptos" w:hAnsi="Aptos"/>
                <w:b w:val="0"/>
                <w:sz w:val="16"/>
              </w:rPr>
              <w:t>Haulage / Fleet</w:t>
            </w:r>
          </w:p>
        </w:tc>
        <w:tc>
          <w:tcPr>
            <w:tcW w:type="dxa" w:w="5083"/>
            <w:vAlign w:val="center"/>
          </w:tcPr>
          <w:p>
            <w:pPr>
              <w:spacing w:after="0"/>
            </w:pPr>
            <w:r/>
            <w:r>
              <w:rPr>
                <w:rFonts w:ascii="Aptos" w:hAnsi="Aptos"/>
                <w:b w:val="0"/>
                <w:sz w:val="16"/>
              </w:rPr>
              <w:t>Truck/trailer/driver list, trip planner, assignment, route/appointment, trip expenses, subcontractor, POD and GPS demo indicator.</w:t>
            </w:r>
          </w:p>
        </w:tc>
      </w:tr>
      <w:tr>
        <w:tc>
          <w:tcPr>
            <w:tcW w:type="dxa" w:w="5083"/>
            <w:vAlign w:val="center"/>
            <w:shd w:fill="F1F5FA"/>
          </w:tcPr>
          <w:p>
            <w:pPr>
              <w:spacing w:after="0"/>
            </w:pPr>
            <w:r/>
            <w:r>
              <w:rPr>
                <w:rFonts w:ascii="Aptos" w:hAnsi="Aptos"/>
                <w:b w:val="0"/>
                <w:sz w:val="16"/>
              </w:rPr>
              <w:t>Warehouse &amp; Storage</w:t>
            </w:r>
          </w:p>
        </w:tc>
        <w:tc>
          <w:tcPr>
            <w:tcW w:type="dxa" w:w="5083"/>
            <w:vAlign w:val="center"/>
            <w:shd w:fill="F1F5FA"/>
          </w:tcPr>
          <w:p>
            <w:pPr>
              <w:spacing w:after="0"/>
            </w:pPr>
            <w:r/>
            <w:r>
              <w:rPr>
                <w:rFonts w:ascii="Aptos" w:hAnsi="Aptos"/>
                <w:b w:val="0"/>
                <w:sz w:val="16"/>
              </w:rPr>
              <w:t>Inbound receiving/GRN, stock movements, location/batch/lot, damage photos, outbound fulfilment and storage billing calculator.</w:t>
            </w:r>
          </w:p>
        </w:tc>
      </w:tr>
      <w:tr>
        <w:tc>
          <w:tcPr>
            <w:tcW w:type="dxa" w:w="5083"/>
            <w:vAlign w:val="center"/>
          </w:tcPr>
          <w:p>
            <w:pPr>
              <w:spacing w:after="0"/>
            </w:pPr>
            <w:r/>
            <w:r>
              <w:rPr>
                <w:rFonts w:ascii="Aptos" w:hAnsi="Aptos"/>
                <w:b w:val="0"/>
                <w:sz w:val="16"/>
              </w:rPr>
              <w:t>Documents</w:t>
            </w:r>
          </w:p>
        </w:tc>
        <w:tc>
          <w:tcPr>
            <w:tcW w:type="dxa" w:w="5083"/>
            <w:vAlign w:val="center"/>
          </w:tcPr>
          <w:p>
            <w:pPr>
              <w:spacing w:after="0"/>
            </w:pPr>
            <w:r/>
            <w:r>
              <w:rPr>
                <w:rFonts w:ascii="Aptos" w:hAnsi="Aptos"/>
                <w:b w:val="0"/>
                <w:sz w:val="16"/>
              </w:rPr>
              <w:t>Job digital folder, file type, related entity, upload/preview/download actions, required-document checklist and version/history.</w:t>
            </w:r>
          </w:p>
        </w:tc>
      </w:tr>
      <w:tr>
        <w:tc>
          <w:tcPr>
            <w:tcW w:type="dxa" w:w="5083"/>
            <w:vAlign w:val="center"/>
            <w:shd w:fill="F1F5FA"/>
          </w:tcPr>
          <w:p>
            <w:pPr>
              <w:spacing w:after="0"/>
            </w:pPr>
            <w:r/>
            <w:r>
              <w:rPr>
                <w:rFonts w:ascii="Aptos" w:hAnsi="Aptos"/>
                <w:b w:val="0"/>
                <w:sz w:val="16"/>
              </w:rPr>
              <w:t>Billing &amp; Finance</w:t>
            </w:r>
          </w:p>
        </w:tc>
        <w:tc>
          <w:tcPr>
            <w:tcW w:type="dxa" w:w="5083"/>
            <w:vAlign w:val="center"/>
            <w:shd w:fill="F1F5FA"/>
          </w:tcPr>
          <w:p>
            <w:pPr>
              <w:spacing w:after="0"/>
            </w:pPr>
            <w:r/>
            <w:r>
              <w:rPr>
                <w:rFonts w:ascii="Aptos" w:hAnsi="Aptos"/>
                <w:b w:val="0"/>
                <w:sz w:val="16"/>
              </w:rPr>
              <w:t>Charge suggestions, supplier costs, payment requests, invoice review/approval, e-invoice submission state, vouchers, receivables/payables and bank reconciliation.</w:t>
            </w:r>
          </w:p>
        </w:tc>
      </w:tr>
      <w:tr>
        <w:tc>
          <w:tcPr>
            <w:tcW w:type="dxa" w:w="5083"/>
            <w:vAlign w:val="center"/>
          </w:tcPr>
          <w:p>
            <w:pPr>
              <w:spacing w:after="0"/>
            </w:pPr>
            <w:r/>
            <w:r>
              <w:rPr>
                <w:rFonts w:ascii="Aptos" w:hAnsi="Aptos"/>
                <w:b w:val="0"/>
                <w:sz w:val="16"/>
              </w:rPr>
              <w:t>Reports &amp; Job Costing</w:t>
            </w:r>
          </w:p>
        </w:tc>
        <w:tc>
          <w:tcPr>
            <w:tcW w:type="dxa" w:w="5083"/>
            <w:vAlign w:val="center"/>
          </w:tcPr>
          <w:p>
            <w:pPr>
              <w:spacing w:after="0"/>
            </w:pPr>
            <w:r/>
            <w:r>
              <w:rPr>
                <w:rFonts w:ascii="Aptos" w:hAnsi="Aptos"/>
                <w:b w:val="0"/>
                <w:sz w:val="16"/>
              </w:rPr>
              <w:t>P&amp;L, Balance Sheet, bank reconciliation, job/customer/department profitability and date/status filters.</w:t>
            </w:r>
          </w:p>
        </w:tc>
      </w:tr>
      <w:tr>
        <w:tc>
          <w:tcPr>
            <w:tcW w:type="dxa" w:w="5083"/>
            <w:vAlign w:val="center"/>
            <w:shd w:fill="F1F5FA"/>
          </w:tcPr>
          <w:p>
            <w:pPr>
              <w:spacing w:after="0"/>
            </w:pPr>
            <w:r/>
            <w:r>
              <w:rPr>
                <w:rFonts w:ascii="Aptos" w:hAnsi="Aptos"/>
                <w:b w:val="0"/>
                <w:sz w:val="16"/>
              </w:rPr>
              <w:t>Customer Portal</w:t>
            </w:r>
          </w:p>
        </w:tc>
        <w:tc>
          <w:tcPr>
            <w:tcW w:type="dxa" w:w="5083"/>
            <w:vAlign w:val="center"/>
            <w:shd w:fill="F1F5FA"/>
          </w:tcPr>
          <w:p>
            <w:pPr>
              <w:spacing w:after="0"/>
            </w:pPr>
            <w:r/>
            <w:r>
              <w:rPr>
                <w:rFonts w:ascii="Aptos" w:hAnsi="Aptos"/>
                <w:b w:val="0"/>
                <w:sz w:val="16"/>
              </w:rPr>
              <w:t>Separate customer-scoped layout with own shipments, status/ETA, approved documents and customer-facing charge categories only.</w:t>
            </w:r>
          </w:p>
        </w:tc>
      </w:tr>
    </w:tbl>
    <w:p>
      <w:pPr>
        <w:spacing w:after="20"/>
      </w:pPr>
    </w:p>
    <w:p>
      <w:pPr>
        <w:pStyle w:val="Heading1"/>
      </w:pPr>
      <w:r>
        <w:t>8. Meta-Prompt: Generate the React Frontend Mockup</w:t>
      </w:r>
    </w:p>
    <w:p>
      <w:pPr>
        <w:spacing w:after="80"/>
      </w:pPr>
      <w:r>
        <w:rPr>
          <w:rFonts w:ascii="Aptos" w:hAnsi="Aptos"/>
          <w:sz w:val="16"/>
        </w:rPr>
        <w:t>You are a senior product designer and senior React frontend engineer building the frontend mockup for SK Transworld Logistics Malaysia.</w:t>
      </w:r>
    </w:p>
    <w:p>
      <w:pPr>
        <w:spacing w:after="80"/>
      </w:pPr>
      <w:r>
        <w:rPr>
          <w:rFonts w:ascii="Aptos" w:hAnsi="Aptos"/>
          <w:b/>
          <w:color w:val="2B64AA"/>
          <w:sz w:val="16"/>
        </w:rPr>
        <w:t>SOURCE OF TRUTH</w:t>
        <w:br/>
      </w:r>
      <w:r>
        <w:rPr>
          <w:rFonts w:ascii="Aptos" w:hAnsi="Aptos"/>
          <w:sz w:val="16"/>
        </w:rPr>
        <w:t>Use the supplied “SK Transworld Logistics — Combined Logistics &amp; Accounting System BRD” DOCX as the authority for business terminology and labels. Use the companion “SK Transworld Logistics Requirements Document” PDF for additional screen-level detail, user roles, access principles, dashboard measures, non-functional guidance, acceptance criteria and proposed enhancements. Preserve terms such as Job No., docket, job cover sheet, BL/HBL/MBL, FCL/LCL, ETA/ETD, K1/K2/K3/K4/K5/K8/ZB, DG declaration, DSO, IGM, duty/SST, SSR, EDO, gate pass, GRN, POD, payment request/reimbursement, supplier cost, payment voucher, e-invoice, bank reconciliation, P&amp;L, Balance Sheet, job costing and Pending Business Clarification.</w:t>
      </w:r>
    </w:p>
    <w:p>
      <w:pPr>
        <w:spacing w:after="80"/>
      </w:pPr>
      <w:r>
        <w:rPr>
          <w:rFonts w:ascii="Aptos" w:hAnsi="Aptos"/>
          <w:b/>
          <w:color w:val="2B64AA"/>
          <w:sz w:val="16"/>
        </w:rPr>
        <w:t>GOAL</w:t>
        <w:br/>
      </w:r>
      <w:r>
        <w:rPr>
          <w:rFonts w:ascii="Aptos" w:hAnsi="Aptos"/>
          <w:sz w:val="16"/>
        </w:rPr>
        <w:t>Implement a polished, responsive, clickable frontend mockup in my existing VS Code React project. This is a mockup, not a production backend. Inspect the repository first and reuse its current framework, router, styling system, icon library, component patterns and dependencies. Do not replace the stack or rewrite unrelated features. If screenshots are available, use them as visual reference for style and layout.</w:t>
      </w:r>
    </w:p>
    <w:p>
      <w:pPr>
        <w:spacing w:after="80"/>
      </w:pPr>
      <w:r>
        <w:rPr>
          <w:rFonts w:ascii="Aptos" w:hAnsi="Aptos"/>
          <w:b/>
          <w:color w:val="2B64AA"/>
          <w:sz w:val="16"/>
        </w:rPr>
        <w:t>PRODUCT PRINCIPLE</w:t>
        <w:br/>
      </w:r>
      <w:r>
        <w:rPr>
          <w:rFonts w:ascii="Aptos" w:hAnsi="Aptos"/>
          <w:sz w:val="16"/>
        </w:rPr>
        <w:t>Every shipment/job uses one Job No. as the cross-department key. Connect the same mock job records to customer, shipment/container, forwarding, customs, haulage, warehouse, digital documents, charges/costs, invoices, vouchers, payment status and job profitability. Operational status must be separate from financial status.</w:t>
      </w:r>
    </w:p>
    <w:p>
      <w:pPr>
        <w:spacing w:after="80"/>
      </w:pPr>
      <w:r>
        <w:rPr>
          <w:rFonts w:ascii="Aptos" w:hAnsi="Aptos"/>
          <w:b/>
          <w:color w:val="2B64AA"/>
          <w:sz w:val="16"/>
        </w:rPr>
        <w:t>DESIGN SYSTEM</w:t>
        <w:br/>
      </w:r>
      <w:r>
        <w:rPr>
          <w:rFonts w:ascii="Aptos" w:hAnsi="Aptos"/>
          <w:sz w:val="16"/>
        </w:rPr>
        <w:t>- Premium B2B logistics SaaS UI with a cool light blue-gray background, white/off-white cards, subtle borders and soft shadows.</w:t>
        <w:br/>
      </w:r>
      <w:r>
        <w:rPr>
          <w:rFonts w:ascii="Aptos" w:hAnsi="Aptos"/>
          <w:sz w:val="16"/>
        </w:rPr>
        <w:t>- Primary blue #3783FF; amber #EFB54A for attention/warning; near-black text; muted slate secondary text.</w:t>
        <w:br/>
      </w:r>
      <w:r>
        <w:rPr>
          <w:rFonts w:ascii="Aptos" w:hAnsi="Aptos"/>
          <w:sz w:val="16"/>
        </w:rPr>
        <w:t>- Use a clean, compact, high-information layout with consistent spacing, typography, rounded corners and Lucide/project icons.</w:t>
        <w:br/>
      </w:r>
      <w:r>
        <w:rPr>
          <w:rFonts w:ascii="Aptos" w:hAnsi="Aptos"/>
          <w:sz w:val="16"/>
        </w:rPr>
        <w:t>- Provide responsive desktop, tablet and mobile layouts with no horizontal overflow.</w:t>
        <w:br/>
      </w:r>
      <w:r>
        <w:rPr>
          <w:rFonts w:ascii="Aptos" w:hAnsi="Aptos"/>
          <w:sz w:val="16"/>
        </w:rPr>
        <w:t>- Use accessible semantic HTML, labels, keyboard navigation, visible focus states, loading/empty/error states and readable contrast.</w:t>
        <w:br/>
      </w:r>
      <w:r>
        <w:rPr>
          <w:rFonts w:ascii="Aptos" w:hAnsi="Aptos"/>
          <w:sz w:val="16"/>
        </w:rPr>
        <w:t>- Use charts and visual indicators only where they add operational meaning. Do not fill the UI with decorative charts.</w:t>
      </w:r>
    </w:p>
    <w:p>
      <w:pPr>
        <w:spacing w:after="80"/>
      </w:pPr>
      <w:r>
        <w:rPr>
          <w:rFonts w:ascii="Aptos" w:hAnsi="Aptos"/>
          <w:b/>
          <w:color w:val="2B64AA"/>
          <w:sz w:val="16"/>
        </w:rPr>
        <w:t>SCREENS TO BUILD</w:t>
        <w:br/>
      </w:r>
      <w:r>
        <w:rPr>
          <w:rFonts w:ascii="Aptos" w:hAnsi="Aptos"/>
          <w:sz w:val="16"/>
        </w:rPr>
        <w:t>1. Management Dashboard: daily operations KPIs (deliveries, arriving containers, customs pending, EDO pending, warehouse deliveries, trucks required), today's and MTD revenue, outstanding customer payments, supplier payable, job profitability, forwarding/warehouse/haulage revenue, exception alerts and drill-down lists.</w:t>
        <w:br/>
      </w:r>
      <w:r>
        <w:rPr>
          <w:rFonts w:ascii="Aptos" w:hAnsi="Aptos"/>
          <w:sz w:val="16"/>
        </w:rPr>
        <w:t>2. Jobs / Dockets: searchable, filterable, sortable jobs table; create-job flow; Job No.; customer; service; shipment type; status; ETA/ETD; assigned owner; billing state; missing documents; quick actions.</w:t>
        <w:br/>
      </w:r>
      <w:r>
        <w:rPr>
          <w:rFonts w:ascii="Aptos" w:hAnsi="Aptos"/>
          <w:sz w:val="16"/>
        </w:rPr>
        <w:t>3. Job Detail Workspace: tabs for Overview, Forwarding, Customs, Haulage, Warehouse, Documents, Charges &amp; Costs, Invoices, Job Costing and Activity/Audit Trail. Keep the Job No. visible across tabs.</w:t>
        <w:br/>
      </w:r>
      <w:r>
        <w:rPr>
          <w:rFonts w:ascii="Aptos" w:hAnsi="Aptos"/>
          <w:sz w:val="16"/>
        </w:rPr>
        <w:t>4. Quotations &amp; Tariffs: customer quotation list and detail, service lines, rate values/units, validity, status, supplier/carrier tariff view, and accept quotation -&gt; create/link Job No. flow.</w:t>
        <w:br/>
      </w:r>
      <w:r>
        <w:rPr>
          <w:rFonts w:ascii="Aptos" w:hAnsi="Aptos"/>
          <w:sz w:val="16"/>
        </w:rPr>
        <w:t>5. Freight Forwarding &amp; Container Tracking: booking, carrier/co-loader, vessel/voyage, BL/HBL/MBL, FCL/LCL, import/export/transshipment, containers, ETA/ETD, milestones, free days, demurrage/detention, tracking source and last-updated time.</w:t>
        <w:br/>
      </w:r>
      <w:r>
        <w:rPr>
          <w:rFonts w:ascii="Aptos" w:hAnsi="Aptos"/>
          <w:sz w:val="16"/>
        </w:rPr>
        <w:t>6. Customs Clearance: declaration types K1, K2, K3, K4, K5, K8, ZB; DG declaration, DSO, IGM; duty/SST; customs payment; SSR; inspection/release; customs approval; EDO; gate pass; delivery lifecycle and document evidence.</w:t>
        <w:br/>
      </w:r>
      <w:r>
        <w:rPr>
          <w:rFonts w:ascii="Aptos" w:hAnsi="Aptos"/>
          <w:sz w:val="16"/>
        </w:rPr>
        <w:t>7. Haulage / Fleet: truck, trailer and driver masters; trip planner; container/job assignment; pickup, delivery, port appointment, empty pickup, laden delivery and empty return; trip expenses; subcontractor; POD with photo/signature placeholder; road tax/insurance reminders; clearly-labelled demo GPS status.</w:t>
        <w:br/>
      </w:r>
      <w:r>
        <w:rPr>
          <w:rFonts w:ascii="Aptos" w:hAnsi="Aptos"/>
          <w:sz w:val="16"/>
        </w:rPr>
        <w:t>8. Warehouse &amp; Inventory: inbound receipt, unloading, cargo count, damage/shortage evidence, GRN, palletisation/labelling, stock movement, SKU, carton, pallet, CBM, weight, bin/rack, batch/lot, optional expiry, outbound pick/pack/load/dispatch and POD.</w:t>
        <w:br/>
      </w:r>
      <w:r>
        <w:rPr>
          <w:rFonts w:ascii="Aptos" w:hAnsi="Aptos"/>
          <w:sz w:val="16"/>
        </w:rPr>
        <w:t>9. Storage Billing &amp; Handling: configurable customer free days and rate basis; show calculation breakdown; chargeable handling events; draft suggestions; adjustment reason; approval state; prevent duplicate charges in mock logic.</w:t>
        <w:br/>
      </w:r>
      <w:r>
        <w:rPr>
          <w:rFonts w:ascii="Aptos" w:hAnsi="Aptos"/>
          <w:sz w:val="16"/>
        </w:rPr>
        <w:t>10. Digital Document Management: one searchable folder per Job No.; invoice, packing list, BL, customs files, EDO, LOI, delivery order, gate pass, POD, photos and correspondence; file classification; linked job/container/trip/invoice; preview/upload interaction using local mock state; missing-document checklist and version history.</w:t>
        <w:br/>
      </w:r>
      <w:r>
        <w:rPr>
          <w:rFonts w:ascii="Aptos" w:hAnsi="Aptos"/>
          <w:sz w:val="16"/>
        </w:rPr>
        <w:t>11. Billing &amp; Finance: charge suggestions from operational events; supplier costs; reimbursement/payment requests; customer invoices; Finance review/approval; e-invoice submission status/reference/error mock state; email send status; supplier payment vouchers; manual vouchers; receivables/payables; bank reconciliation; P&amp;L and Balance Sheet.</w:t>
        <w:br/>
      </w:r>
      <w:r>
        <w:rPr>
          <w:rFonts w:ascii="Aptos" w:hAnsi="Aptos"/>
          <w:sz w:val="16"/>
        </w:rPr>
        <w:t>12. Job Costing &amp; Reports: revenue, direct/estimated cost, gross profit and margin by job/customer/shipment/department; drill down to source charge/cost, applied rate, approval and posting state; reporting date/customer/job/department/status filters.</w:t>
        <w:br/>
      </w:r>
      <w:r>
        <w:rPr>
          <w:rFonts w:ascii="Aptos" w:hAnsi="Aptos"/>
          <w:sz w:val="16"/>
        </w:rPr>
        <w:t>13. Alerts &amp; Reminders: free time expires, EDO not released, overdue customer payment/age, long-stay cargo (30-day example only), missing documents and truck road tax/insurance due; owner, due date, acknowledgement, status, escalation and resolution.</w:t>
        <w:br/>
      </w:r>
      <w:r>
        <w:rPr>
          <w:rFonts w:ascii="Aptos" w:hAnsi="Aptos"/>
          <w:sz w:val="16"/>
        </w:rPr>
        <w:t>14. Customer Portal: distinct customer-facing experience scoped to one customer organisation; show only its shipments, status, ETA, approved documents and customer-facing charge categories. Never show supplier costs or internal profit margins by default.</w:t>
        <w:br/>
      </w:r>
      <w:r>
        <w:rPr>
          <w:rFonts w:ascii="Aptos" w:hAnsi="Aptos"/>
          <w:sz w:val="16"/>
        </w:rPr>
        <w:t>15. Master Data / Access: customers, suppliers, carriers, rates, trucks, trailers, drivers, warehouses/locations, roles and permissions in mock form.</w:t>
      </w:r>
    </w:p>
    <w:p>
      <w:pPr>
        <w:spacing w:after="80"/>
      </w:pPr>
      <w:r>
        <w:rPr>
          <w:rFonts w:ascii="Aptos" w:hAnsi="Aptos"/>
          <w:b/>
          <w:color w:val="2B64AA"/>
          <w:sz w:val="16"/>
        </w:rPr>
        <w:t>DYNAMIC MOCK DATA</w:t>
        <w:br/>
      </w:r>
      <w:r>
        <w:rPr>
          <w:rFonts w:ascii="Aptos" w:hAnsi="Aptos"/>
          <w:sz w:val="16"/>
        </w:rPr>
        <w:t>- Create one coherent typed mock data model and central data source (for example TypeScript objects in a data/ folder) shared across screens.</w:t>
        <w:br/>
      </w:r>
      <w:r>
        <w:rPr>
          <w:rFonts w:ascii="Aptos" w:hAnsi="Aptos"/>
          <w:sz w:val="16"/>
        </w:rPr>
        <w:t>- Use realistic Malaysian logistics sample data and Malaysian Ringgit (RM). Job No. may use examples such as SKI2610028, but label the numbering pattern as illustrative until confirmed.</w:t>
        <w:br/>
      </w:r>
      <w:r>
        <w:rPr>
          <w:rFonts w:ascii="Aptos" w:hAnsi="Aptos"/>
          <w:sz w:val="16"/>
        </w:rPr>
        <w:t>- Include multiple jobs, customers, containers, quotes, trips, trucks/drivers, warehouse movements, documents, charges, supplier costs, invoices, vouchers and alerts.</w:t>
        <w:br/>
      </w:r>
      <w:r>
        <w:rPr>
          <w:rFonts w:ascii="Aptos" w:hAnsi="Aptos"/>
          <w:sz w:val="16"/>
        </w:rPr>
        <w:t>- All KPI values, totals, status counts, chart series, progress bars, table rows and detail pages must be derived from the shared data rather than independently hard-coded.</w:t>
        <w:br/>
      </w:r>
      <w:r>
        <w:rPr>
          <w:rFonts w:ascii="Aptos" w:hAnsi="Aptos"/>
          <w:sz w:val="16"/>
        </w:rPr>
        <w:t>- Filters, search, sort, pagination, tabs, row selection, date ranges and drill-downs should update visible UI and totals.</w:t>
        <w:br/>
      </w:r>
      <w:r>
        <w:rPr>
          <w:rFonts w:ascii="Aptos" w:hAnsi="Aptos"/>
          <w:sz w:val="16"/>
        </w:rPr>
        <w:t>- Add local interactions for create/edit forms, quotation acceptance, job creation, charge review, invoice approval/rejection, alert acknowledgement, document upload placeholder and status changes. Persist only in local app state unless the existing project already has a mock persistence pattern.</w:t>
        <w:br/>
      </w:r>
      <w:r>
        <w:rPr>
          <w:rFonts w:ascii="Aptos" w:hAnsi="Aptos"/>
          <w:sz w:val="16"/>
        </w:rPr>
        <w:t>- Include a “Demo data” indicator and consistent demo values across screens.</w:t>
        <w:br/>
      </w:r>
      <w:r>
        <w:rPr>
          <w:rFonts w:ascii="Aptos" w:hAnsi="Aptos"/>
          <w:sz w:val="16"/>
        </w:rPr>
        <w:t>- Use clear badges for operational status and financial status separately: e.g. In progress/Delivered vs Unbilled/Draft/Approved/Invoiced/Paid/Overdue/Reconciliation pending. Keep status vocabulary configurable where requirements are not final.</w:t>
        <w:br/>
      </w:r>
      <w:r>
        <w:rPr>
          <w:rFonts w:ascii="Aptos" w:hAnsi="Aptos"/>
          <w:sz w:val="16"/>
        </w:rPr>
        <w:t>- For example haulage calculation, support RM1,200 billing - RM700 trucking - RM80 toll - RM50 other cost = RM370 profit. For storage examples, show customer-specific rules such as 3 free days then RM3/CBM/day, RM8/pallet/day, or RM5/carton/month, clearly marked as illustrative examples.</w:t>
        <w:br/>
      </w:r>
      <w:r>
        <w:rPr>
          <w:rFonts w:ascii="Aptos" w:hAnsi="Aptos"/>
          <w:sz w:val="16"/>
        </w:rPr>
        <w:t>- Distinguish actual and estimated costs. Keep generated charge suggestions as Draft until reviewed/approved. Do not allow a posted finance record to be silently deleted; use a mock reversal/cancel flow if needed.</w:t>
        <w:br/>
      </w:r>
      <w:r>
        <w:rPr>
          <w:rFonts w:ascii="Aptos" w:hAnsi="Aptos"/>
          <w:sz w:val="16"/>
        </w:rPr>
        <w:t>- A document upload must not automatically imply customs approval/release. AI-extracted job fields must show confidence/review state and require human confirmation.</w:t>
      </w:r>
    </w:p>
    <w:p>
      <w:pPr>
        <w:spacing w:after="80"/>
      </w:pPr>
      <w:r>
        <w:rPr>
          <w:rFonts w:ascii="Aptos" w:hAnsi="Aptos"/>
          <w:b/>
          <w:color w:val="2B64AA"/>
          <w:sz w:val="16"/>
        </w:rPr>
        <w:t>INTEGRATION HONESTY AND OPEN ITEMS</w:t>
        <w:br/>
      </w:r>
      <w:r>
        <w:rPr>
          <w:rFonts w:ascii="Aptos" w:hAnsi="Aptos"/>
          <w:sz w:val="16"/>
        </w:rPr>
        <w:t>Do not claim that GPS, carrier/port tracking, customs lodgement, LHDN MyInvois, bank feeds, email delivery or AI document extraction are connected. Represent them as mock/demo integrations with clear statuses. Keep unresolved choices marked “Pending Business Clarification” or “Needs confirmation”: currency/multi-currency, Job No. numbering, tax/SST, e-invoice provider and route, customs lodgement channel, bank formats, approval thresholds, accounting posting/period-lock rules, storage rounding/free-day policy, branch/user counts, time zone, report formulas, data retention, migration and integration providers.</w:t>
      </w:r>
    </w:p>
    <w:p>
      <w:pPr>
        <w:spacing w:after="80"/>
      </w:pPr>
      <w:r>
        <w:rPr>
          <w:rFonts w:ascii="Aptos" w:hAnsi="Aptos"/>
          <w:b/>
          <w:color w:val="2B64AA"/>
          <w:sz w:val="16"/>
        </w:rPr>
        <w:t>ENGINEERING EXPECTATIONS</w:t>
        <w:br/>
      </w:r>
      <w:r>
        <w:rPr>
          <w:rFonts w:ascii="Aptos" w:hAnsi="Aptos"/>
          <w:sz w:val="16"/>
        </w:rPr>
        <w:t>- Start by inspecting the project and writing a concise implementation plan.</w:t>
        <w:br/>
      </w:r>
      <w:r>
        <w:rPr>
          <w:rFonts w:ascii="Aptos" w:hAnsi="Aptos"/>
          <w:sz w:val="16"/>
        </w:rPr>
        <w:t>- Build reusable components, forms, tables, filters, status badges, cards, charts and dialogs.</w:t>
        <w:br/>
      </w:r>
      <w:r>
        <w:rPr>
          <w:rFonts w:ascii="Aptos" w:hAnsi="Aptos"/>
          <w:sz w:val="16"/>
        </w:rPr>
        <w:t>- Separate mock data, calculation helpers, shared types, UI components and page layouts.</w:t>
        <w:br/>
      </w:r>
      <w:r>
        <w:rPr>
          <w:rFonts w:ascii="Aptos" w:hAnsi="Aptos"/>
          <w:sz w:val="16"/>
        </w:rPr>
        <w:t>- Prefer the installed UI/icon/chart libraries; add dependencies only if genuinely necessary.</w:t>
        <w:br/>
      </w:r>
      <w:r>
        <w:rPr>
          <w:rFonts w:ascii="Aptos" w:hAnsi="Aptos"/>
          <w:sz w:val="16"/>
        </w:rPr>
        <w:t>- Keep code maintainable and avoid one giant component.</w:t>
        <w:br/>
      </w:r>
      <w:r>
        <w:rPr>
          <w:rFonts w:ascii="Aptos" w:hAnsi="Aptos"/>
          <w:sz w:val="16"/>
        </w:rPr>
        <w:t>- Include responsive behaviour, accessible interactions and empty/loading/error states.</w:t>
        <w:br/>
      </w:r>
      <w:r>
        <w:rPr>
          <w:rFonts w:ascii="Aptos" w:hAnsi="Aptos"/>
          <w:sz w:val="16"/>
        </w:rPr>
        <w:t>- Run available lint, type-check and build scripts; fix issues caused by your changes.</w:t>
        <w:br/>
      </w:r>
      <w:r>
        <w:rPr>
          <w:rFonts w:ascii="Aptos" w:hAnsi="Aptos"/>
          <w:sz w:val="16"/>
        </w:rPr>
        <w:t>- Do not implement a real backend or real integrations unless the project already has them and the task explicitly calls for using them.</w:t>
      </w:r>
    </w:p>
    <w:p>
      <w:pPr>
        <w:spacing w:after="80"/>
      </w:pPr>
      <w:r>
        <w:rPr>
          <w:rFonts w:ascii="Aptos" w:hAnsi="Aptos"/>
          <w:b/>
          <w:color w:val="2B64AA"/>
          <w:sz w:val="16"/>
        </w:rPr>
        <w:t>DEFINITION OF DONE</w:t>
        <w:br/>
      </w:r>
      <w:r>
        <w:rPr>
          <w:rFonts w:ascii="Aptos" w:hAnsi="Aptos"/>
          <w:sz w:val="16"/>
        </w:rPr>
        <w:t>The result is a clickable multi-screen frontend mockup, not just a static dashboard. It demonstrates the combined operations + finance workflow around a single Job No.; dynamic values are internally consistent; key modules and user roles are represented; search/filter/drill-down and major local interactions work; responsive layouts are usable; and the README or final response lists screens, mock-data assumptions, files changed, test commands/results and all unresolved requirements that need client confirmation.</w:t>
      </w:r>
    </w:p>
    <w:p>
      <w:pPr>
        <w:spacing w:after="80"/>
      </w:pPr>
      <w:r>
        <w:rPr>
          <w:rFonts w:ascii="Aptos" w:hAnsi="Aptos"/>
          <w:sz w:val="16"/>
        </w:rPr>
        <w:t>Begin by inspecting the repository. Then implement the mockup in the existing project, validating the result with the available checks.</w:t>
      </w:r>
    </w:p>
    <w:p>
      <w:pPr>
        <w:pStyle w:val="Heading1"/>
      </w:pPr>
      <w:r>
        <w:t>9. Acceptance Checklist for the Mockup</w:t>
      </w:r>
    </w:p>
    <w:p>
      <w:pPr>
        <w:pStyle w:val="ListBullet"/>
        <w:spacing w:after="40"/>
      </w:pPr>
      <w:r>
        <w:t>Dashboard KPI totals reconcile with the underlying shared demo records.</w:t>
      </w:r>
    </w:p>
    <w:p>
      <w:pPr>
        <w:pStyle w:val="ListBullet"/>
        <w:spacing w:after="40"/>
      </w:pPr>
      <w:r>
        <w:t>Selecting a Job No. opens a consistent detail workspace with the same linked containers, documents, charges/costs and finance records.</w:t>
      </w:r>
    </w:p>
    <w:p>
      <w:pPr>
        <w:pStyle w:val="ListBullet"/>
        <w:spacing w:after="40"/>
      </w:pPr>
      <w:r>
        <w:t>Search and filters work on the main jobs, containers, invoices and alerts lists.</w:t>
      </w:r>
    </w:p>
    <w:p>
      <w:pPr>
        <w:pStyle w:val="ListBullet"/>
        <w:spacing w:after="40"/>
      </w:pPr>
      <w:r>
        <w:t>Quotation acceptance can create/link a job without retyping available customer/service/rate data.</w:t>
      </w:r>
    </w:p>
    <w:p>
      <w:pPr>
        <w:pStyle w:val="ListBullet"/>
        <w:spacing w:after="40"/>
      </w:pPr>
      <w:r>
        <w:t>Operational and financial statuses are distinct and visually understandable.</w:t>
      </w:r>
    </w:p>
    <w:p>
      <w:pPr>
        <w:pStyle w:val="ListBullet"/>
        <w:spacing w:after="40"/>
      </w:pPr>
      <w:r>
        <w:t>Charge suggestions are reviewable and not silently treated as approved invoices.</w:t>
      </w:r>
    </w:p>
    <w:p>
      <w:pPr>
        <w:pStyle w:val="ListBullet"/>
        <w:spacing w:after="40"/>
      </w:pPr>
      <w:r>
        <w:t>Job costing displays revenue, costs and gross profit with a visible breakdown.</w:t>
      </w:r>
    </w:p>
    <w:p>
      <w:pPr>
        <w:pStyle w:val="ListBullet"/>
        <w:spacing w:after="40"/>
      </w:pPr>
      <w:r>
        <w:t>Customer Portal mock data is customer-scoped and excludes supplier costs/internal margins.</w:t>
      </w:r>
    </w:p>
    <w:p>
      <w:pPr>
        <w:pStyle w:val="ListBullet"/>
        <w:spacing w:after="40"/>
      </w:pPr>
      <w:r>
        <w:t>Alerts show an owner, due date and resolution state.</w:t>
      </w:r>
    </w:p>
    <w:p>
      <w:pPr>
        <w:pStyle w:val="ListBullet"/>
        <w:spacing w:after="40"/>
      </w:pPr>
      <w:r>
        <w:t>Responsive layout works at desktop, tablet and mobile sizes without horizontal overflow.</w:t>
      </w:r>
    </w:p>
    <w:p>
      <w:pPr>
        <w:pStyle w:val="ListBullet"/>
        <w:spacing w:after="40"/>
      </w:pPr>
      <w:r>
        <w:t>The UI labels external integrations as demo/unconfigured unless real connections exist.</w:t>
      </w:r>
    </w:p>
    <w:p>
      <w:pPr>
        <w:pStyle w:val="ListBullet"/>
        <w:spacing w:after="40"/>
      </w:pPr>
      <w:r>
        <w:t>Build/lint/type-check are run where scripts exist; remaining limitations are documented.</w:t>
      </w:r>
    </w:p>
    <w:p>
      <w:pPr>
        <w:pStyle w:val="Heading1"/>
      </w:pPr>
      <w:r>
        <w:t>10. Source Notes</w:t>
      </w:r>
    </w:p>
    <w:p>
      <w:r>
        <w:t>This consolidation is based on the two files supplied in this conversation: (1) “SK Transworld Logistics — Combined Logistics &amp; Accounting System BRD.docx” and (2) “SK_Transworld_Logistics_Requirements_Document (1).pdf”. The DOCX terminology is prioritised as requested. The PDF contributes implementation-oriented detail such as role/access proposals, functional requirements, dashboards, cross-department hand-offs, acceptance criteria, phases, dependencies and open questions. Both sources are drafts for client validation; proposed or illustrative items are not treated as signed-off policy.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80"/>
        <w:sz w:val="16"/>
      </w:rPr>
      <w:t>SK Transworld Logistics | Consolidated Requirements &amp; FE Mockup Prompt | Draft for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05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B64A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B64A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0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