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B64AA"/>
          <w:sz w:val="26"/>
        </w:rPr>
        <w:t>SK TRANSWORLD LOGISTICS</w:t>
      </w:r>
    </w:p>
    <w:p>
      <w:pPr>
        <w:pStyle w:val="Title"/>
        <w:jc w:val="center"/>
      </w:pPr>
      <w:r>
        <w:t>Step-by-Step React FE</w:t>
        <w:br/>
        <w:t>Mockup Implementation Prompts</w:t>
      </w:r>
    </w:p>
    <w:p>
      <w:pPr>
        <w:jc w:val="center"/>
      </w:pPr>
      <w:r>
        <w:rPr>
          <w:color w:val="505C6C"/>
          <w:sz w:val="22"/>
        </w:rPr>
        <w:t>Prompt sequence for VS Code coding agents · Combined Logistics + Accounting System</w:t>
      </w:r>
    </w:p>
    <w:p>
      <w:pPr>
        <w:jc w:val="center"/>
      </w:pPr>
      <w:r>
        <w:rPr>
          <w:i/>
        </w:rPr>
        <w:t>Based on the SK Transworld BRD DOCX, requirements PDF, and RoutaX-style dashboard references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3052"/>
          </w:tcPr>
          <w:p>
            <w:pPr>
              <w:spacing w:after="0"/>
            </w:pPr>
            <w:r/>
            <w:r>
              <w:rPr>
                <w:rFonts w:ascii="Aptos" w:hAnsi="Aptos"/>
                <w:b/>
                <w:color w:val="FFFFFF"/>
                <w:sz w:val="16"/>
              </w:rPr>
              <w:t>How to use this pack</w:t>
            </w:r>
          </w:p>
        </w:tc>
        <w:tc>
          <w:tcPr>
            <w:tcW w:type="dxa" w:w="5112"/>
            <w:vAlign w:val="center"/>
            <w:shd w:fill="163052"/>
          </w:tcPr>
          <w:p>
            <w:pPr>
              <w:spacing w:after="0"/>
            </w:pPr>
            <w:r/>
            <w:r>
              <w:rPr>
                <w:rFonts w:ascii="Aptos" w:hAnsi="Aptos"/>
                <w:b/>
                <w:color w:val="FFFFFF"/>
                <w:sz w:val="16"/>
              </w:rPr>
              <w:t>Rule</w:t>
            </w:r>
          </w:p>
        </w:tc>
      </w:tr>
      <w:tr>
        <w:tc>
          <w:tcPr>
            <w:tcW w:type="dxa" w:w="5112"/>
            <w:vAlign w:val="center"/>
          </w:tcPr>
          <w:p>
            <w:pPr>
              <w:spacing w:after="0"/>
            </w:pPr>
            <w:r/>
            <w:r>
              <w:rPr>
                <w:rFonts w:ascii="Aptos" w:hAnsi="Aptos"/>
                <w:b w:val="0"/>
                <w:sz w:val="16"/>
              </w:rPr>
              <w:t>Run prompts sequentially</w:t>
            </w:r>
          </w:p>
        </w:tc>
        <w:tc>
          <w:tcPr>
            <w:tcW w:type="dxa" w:w="5112"/>
            <w:vAlign w:val="center"/>
          </w:tcPr>
          <w:p>
            <w:pPr>
              <w:spacing w:after="0"/>
            </w:pPr>
            <w:r/>
            <w:r>
              <w:rPr>
                <w:rFonts w:ascii="Aptos" w:hAnsi="Aptos"/>
                <w:b w:val="0"/>
                <w:sz w:val="16"/>
              </w:rPr>
              <w:t>Paste only one prompt at a time into your VS Code coding agent. Review the output and tests before moving to the next prompt.</w:t>
            </w:r>
          </w:p>
        </w:tc>
      </w:tr>
      <w:tr>
        <w:tc>
          <w:tcPr>
            <w:tcW w:type="dxa" w:w="5112"/>
            <w:vAlign w:val="center"/>
            <w:shd w:fill="F1F5FA"/>
          </w:tcPr>
          <w:p>
            <w:pPr>
              <w:spacing w:after="0"/>
            </w:pPr>
            <w:r/>
            <w:r>
              <w:rPr>
                <w:rFonts w:ascii="Aptos" w:hAnsi="Aptos"/>
                <w:b w:val="0"/>
                <w:sz w:val="16"/>
              </w:rPr>
              <w:t>Use the DOCX terminology</w:t>
            </w:r>
          </w:p>
        </w:tc>
        <w:tc>
          <w:tcPr>
            <w:tcW w:type="dxa" w:w="5112"/>
            <w:vAlign w:val="center"/>
            <w:shd w:fill="F1F5FA"/>
          </w:tcPr>
          <w:p>
            <w:pPr>
              <w:spacing w:after="0"/>
            </w:pPr>
            <w:r/>
            <w:r>
              <w:rPr>
                <w:rFonts w:ascii="Aptos" w:hAnsi="Aptos"/>
                <w:b w:val="0"/>
                <w:sz w:val="16"/>
              </w:rPr>
              <w:t>Treat the BRD DOCX as the main terminology reference; use the PDF for extra screen requirements, roles, dashboards and acceptance guidance.</w:t>
            </w:r>
          </w:p>
        </w:tc>
      </w:tr>
      <w:tr>
        <w:tc>
          <w:tcPr>
            <w:tcW w:type="dxa" w:w="5112"/>
            <w:vAlign w:val="center"/>
          </w:tcPr>
          <w:p>
            <w:pPr>
              <w:spacing w:after="0"/>
            </w:pPr>
            <w:r/>
            <w:r>
              <w:rPr>
                <w:rFonts w:ascii="Aptos" w:hAnsi="Aptos"/>
                <w:b w:val="0"/>
                <w:sz w:val="16"/>
              </w:rPr>
              <w:t>Reuse the existing project</w:t>
            </w:r>
          </w:p>
        </w:tc>
        <w:tc>
          <w:tcPr>
            <w:tcW w:type="dxa" w:w="5112"/>
            <w:vAlign w:val="center"/>
          </w:tcPr>
          <w:p>
            <w:pPr>
              <w:spacing w:after="0"/>
            </w:pPr>
            <w:r/>
            <w:r>
              <w:rPr>
                <w:rFonts w:ascii="Aptos" w:hAnsi="Aptos"/>
                <w:b w:val="0"/>
                <w:sz w:val="16"/>
              </w:rPr>
              <w:t>Every prompt tells the agent to inspect the current React app and preserve the stack, routes, styles and working features.</w:t>
            </w:r>
          </w:p>
        </w:tc>
      </w:tr>
      <w:tr>
        <w:tc>
          <w:tcPr>
            <w:tcW w:type="dxa" w:w="5112"/>
            <w:vAlign w:val="center"/>
            <w:shd w:fill="F1F5FA"/>
          </w:tcPr>
          <w:p>
            <w:pPr>
              <w:spacing w:after="0"/>
            </w:pPr>
            <w:r/>
            <w:r>
              <w:rPr>
                <w:rFonts w:ascii="Aptos" w:hAnsi="Aptos"/>
                <w:b w:val="0"/>
                <w:sz w:val="16"/>
              </w:rPr>
              <w:t>Visual reference</w:t>
            </w:r>
          </w:p>
        </w:tc>
        <w:tc>
          <w:tcPr>
            <w:tcW w:type="dxa" w:w="5112"/>
            <w:vAlign w:val="center"/>
            <w:shd w:fill="F1F5FA"/>
          </w:tcPr>
          <w:p>
            <w:pPr>
              <w:spacing w:after="0"/>
            </w:pPr>
            <w:r/>
            <w:r>
              <w:rPr>
                <w:rFonts w:ascii="Aptos" w:hAnsi="Aptos"/>
                <w:b w:val="0"/>
                <w:sz w:val="16"/>
              </w:rPr>
              <w:t>Keep both RoutaX reference images available to your coding agent. Use the truck/cargo image as a design cue, not as a literal logistics data model.</w:t>
            </w:r>
          </w:p>
        </w:tc>
      </w:tr>
      <w:tr>
        <w:tc>
          <w:tcPr>
            <w:tcW w:type="dxa" w:w="5112"/>
            <w:vAlign w:val="center"/>
          </w:tcPr>
          <w:p>
            <w:pPr>
              <w:spacing w:after="0"/>
            </w:pPr>
            <w:r/>
            <w:r>
              <w:rPr>
                <w:rFonts w:ascii="Aptos" w:hAnsi="Aptos"/>
                <w:b w:val="0"/>
                <w:sz w:val="16"/>
              </w:rPr>
              <w:t>Mockup only</w:t>
            </w:r>
          </w:p>
        </w:tc>
        <w:tc>
          <w:tcPr>
            <w:tcW w:type="dxa" w:w="5112"/>
            <w:vAlign w:val="center"/>
          </w:tcPr>
          <w:p>
            <w:pPr>
              <w:spacing w:after="0"/>
            </w:pPr>
            <w:r/>
            <w:r>
              <w:rPr>
                <w:rFonts w:ascii="Aptos" w:hAnsi="Aptos"/>
                <w:b w:val="0"/>
                <w:sz w:val="16"/>
              </w:rPr>
              <w:t>Use realistic shared demo data. Do not claim live GPS, customs, MyInvois, bank, email or carrier integrations unless they already exist.</w:t>
            </w:r>
          </w:p>
        </w:tc>
      </w:tr>
      <w:tr>
        <w:tc>
          <w:tcPr>
            <w:tcW w:type="dxa" w:w="5112"/>
            <w:vAlign w:val="center"/>
            <w:shd w:fill="F1F5FA"/>
          </w:tcPr>
          <w:p>
            <w:pPr>
              <w:spacing w:after="0"/>
            </w:pPr>
            <w:r/>
            <w:r>
              <w:rPr>
                <w:rFonts w:ascii="Aptos" w:hAnsi="Aptos"/>
                <w:b w:val="0"/>
                <w:sz w:val="16"/>
              </w:rPr>
              <w:t>Project overview note</w:t>
            </w:r>
          </w:p>
        </w:tc>
        <w:tc>
          <w:tcPr>
            <w:tcW w:type="dxa" w:w="5112"/>
            <w:vAlign w:val="center"/>
            <w:shd w:fill="F1F5FA"/>
          </w:tcPr>
          <w:p>
            <w:pPr>
              <w:spacing w:after="0"/>
            </w:pPr>
            <w:r/>
            <w:r>
              <w:rPr>
                <w:rFonts w:ascii="Aptos" w:hAnsi="Aptos"/>
                <w:b w:val="0"/>
                <w:sz w:val="16"/>
              </w:rPr>
              <w:t>The available conversation attachments include the BRD DOCX and requirements PDF. If a separate project-overview file exists, add it to the VS Code workspace and tell the agent to inspect it during Prompt 1.</w:t>
            </w:r>
          </w:p>
        </w:tc>
      </w:tr>
    </w:tbl>
    <w:p>
      <w:pPr>
        <w:spacing w:after="0"/>
      </w:pPr>
    </w:p>
    <w:p>
      <w:pPr>
        <w:pStyle w:val="Heading1"/>
      </w:pPr>
      <w:r>
        <w:t>Recommended execution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3052"/>
          </w:tcPr>
          <w:p>
            <w:pPr>
              <w:spacing w:after="0"/>
            </w:pPr>
            <w:r/>
            <w:r>
              <w:rPr>
                <w:rFonts w:ascii="Aptos" w:hAnsi="Aptos"/>
                <w:b/>
                <w:color w:val="FFFFFF"/>
                <w:sz w:val="16"/>
              </w:rPr>
              <w:t>Step</w:t>
            </w:r>
          </w:p>
        </w:tc>
        <w:tc>
          <w:tcPr>
            <w:tcW w:type="dxa" w:w="3408"/>
            <w:vAlign w:val="center"/>
            <w:shd w:fill="163052"/>
          </w:tcPr>
          <w:p>
            <w:pPr>
              <w:spacing w:after="0"/>
            </w:pPr>
            <w:r/>
            <w:r>
              <w:rPr>
                <w:rFonts w:ascii="Aptos" w:hAnsi="Aptos"/>
                <w:b/>
                <w:color w:val="FFFFFF"/>
                <w:sz w:val="16"/>
              </w:rPr>
              <w:t>Focus</w:t>
            </w:r>
          </w:p>
        </w:tc>
        <w:tc>
          <w:tcPr>
            <w:tcW w:type="dxa" w:w="3408"/>
            <w:vAlign w:val="center"/>
            <w:shd w:fill="163052"/>
          </w:tcPr>
          <w:p>
            <w:pPr>
              <w:spacing w:after="0"/>
            </w:pPr>
            <w:r/>
            <w:r>
              <w:rPr>
                <w:rFonts w:ascii="Aptos" w:hAnsi="Aptos"/>
                <w:b/>
                <w:color w:val="FFFFFF"/>
                <w:sz w:val="16"/>
              </w:rPr>
              <w:t>Main outcome</w:t>
            </w:r>
          </w:p>
        </w:tc>
      </w:tr>
      <w:tr>
        <w:tc>
          <w:tcPr>
            <w:tcW w:type="dxa" w:w="3408"/>
            <w:vAlign w:val="center"/>
          </w:tcPr>
          <w:p>
            <w:pPr>
              <w:spacing w:after="0"/>
            </w:pPr>
            <w:r/>
            <w:r>
              <w:rPr>
                <w:rFonts w:ascii="Aptos" w:hAnsi="Aptos"/>
                <w:b w:val="0"/>
                <w:sz w:val="16"/>
              </w:rPr>
              <w:t>1</w:t>
            </w:r>
          </w:p>
        </w:tc>
        <w:tc>
          <w:tcPr>
            <w:tcW w:type="dxa" w:w="3408"/>
            <w:vAlign w:val="center"/>
          </w:tcPr>
          <w:p>
            <w:pPr>
              <w:spacing w:after="0"/>
            </w:pPr>
            <w:r/>
            <w:r>
              <w:rPr>
                <w:rFonts w:ascii="Aptos" w:hAnsi="Aptos"/>
                <w:b w:val="0"/>
                <w:sz w:val="16"/>
              </w:rPr>
              <w:t>Repository audit and plan</w:t>
            </w:r>
          </w:p>
        </w:tc>
        <w:tc>
          <w:tcPr>
            <w:tcW w:type="dxa" w:w="3408"/>
            <w:vAlign w:val="center"/>
          </w:tcPr>
          <w:p>
            <w:pPr>
              <w:spacing w:after="0"/>
            </w:pPr>
            <w:r/>
            <w:r>
              <w:rPr>
                <w:rFonts w:ascii="Aptos" w:hAnsi="Aptos"/>
                <w:b w:val="0"/>
                <w:sz w:val="16"/>
              </w:rPr>
              <w:t>Understand current architecture; identify existing screens, stack and gaps.</w:t>
            </w:r>
          </w:p>
        </w:tc>
      </w:tr>
      <w:tr>
        <w:tc>
          <w:tcPr>
            <w:tcW w:type="dxa" w:w="3408"/>
            <w:vAlign w:val="center"/>
            <w:shd w:fill="F1F5FA"/>
          </w:tcPr>
          <w:p>
            <w:pPr>
              <w:spacing w:after="0"/>
            </w:pPr>
            <w:r/>
            <w:r>
              <w:rPr>
                <w:rFonts w:ascii="Aptos" w:hAnsi="Aptos"/>
                <w:b w:val="0"/>
                <w:sz w:val="16"/>
              </w:rPr>
              <w:t>2</w:t>
            </w:r>
          </w:p>
        </w:tc>
        <w:tc>
          <w:tcPr>
            <w:tcW w:type="dxa" w:w="3408"/>
            <w:vAlign w:val="center"/>
            <w:shd w:fill="F1F5FA"/>
          </w:tcPr>
          <w:p>
            <w:pPr>
              <w:spacing w:after="0"/>
            </w:pPr>
            <w:r/>
            <w:r>
              <w:rPr>
                <w:rFonts w:ascii="Aptos" w:hAnsi="Aptos"/>
                <w:b w:val="0"/>
                <w:sz w:val="16"/>
              </w:rPr>
              <w:t>Design system and app shell</w:t>
            </w:r>
          </w:p>
        </w:tc>
        <w:tc>
          <w:tcPr>
            <w:tcW w:type="dxa" w:w="3408"/>
            <w:vAlign w:val="center"/>
            <w:shd w:fill="F1F5FA"/>
          </w:tcPr>
          <w:p>
            <w:pPr>
              <w:spacing w:after="0"/>
            </w:pPr>
            <w:r/>
            <w:r>
              <w:rPr>
                <w:rFonts w:ascii="Aptos" w:hAnsi="Aptos"/>
                <w:b w:val="0"/>
                <w:sz w:val="16"/>
              </w:rPr>
              <w:t>Navigation, sidebar/topbar, colors, spacing, reusable layout.</w:t>
            </w:r>
          </w:p>
        </w:tc>
      </w:tr>
      <w:tr>
        <w:tc>
          <w:tcPr>
            <w:tcW w:type="dxa" w:w="3408"/>
            <w:vAlign w:val="center"/>
          </w:tcPr>
          <w:p>
            <w:pPr>
              <w:spacing w:after="0"/>
            </w:pPr>
            <w:r/>
            <w:r>
              <w:rPr>
                <w:rFonts w:ascii="Aptos" w:hAnsi="Aptos"/>
                <w:b w:val="0"/>
                <w:sz w:val="16"/>
              </w:rPr>
              <w:t>3</w:t>
            </w:r>
          </w:p>
        </w:tc>
        <w:tc>
          <w:tcPr>
            <w:tcW w:type="dxa" w:w="3408"/>
            <w:vAlign w:val="center"/>
          </w:tcPr>
          <w:p>
            <w:pPr>
              <w:spacing w:after="0"/>
            </w:pPr>
            <w:r/>
            <w:r>
              <w:rPr>
                <w:rFonts w:ascii="Aptos" w:hAnsi="Aptos"/>
                <w:b w:val="0"/>
                <w:sz w:val="16"/>
              </w:rPr>
              <w:t>Shared data model</w:t>
            </w:r>
          </w:p>
        </w:tc>
        <w:tc>
          <w:tcPr>
            <w:tcW w:type="dxa" w:w="3408"/>
            <w:vAlign w:val="center"/>
          </w:tcPr>
          <w:p>
            <w:pPr>
              <w:spacing w:after="0"/>
            </w:pPr>
            <w:r/>
            <w:r>
              <w:rPr>
                <w:rFonts w:ascii="Aptos" w:hAnsi="Aptos"/>
                <w:b w:val="0"/>
                <w:sz w:val="16"/>
              </w:rPr>
              <w:t>Consistent Job No.-centred mock data and derived calculations.</w:t>
            </w:r>
          </w:p>
        </w:tc>
      </w:tr>
      <w:tr>
        <w:tc>
          <w:tcPr>
            <w:tcW w:type="dxa" w:w="3408"/>
            <w:vAlign w:val="center"/>
            <w:shd w:fill="F1F5FA"/>
          </w:tcPr>
          <w:p>
            <w:pPr>
              <w:spacing w:after="0"/>
            </w:pPr>
            <w:r/>
            <w:r>
              <w:rPr>
                <w:rFonts w:ascii="Aptos" w:hAnsi="Aptos"/>
                <w:b w:val="0"/>
                <w:sz w:val="16"/>
              </w:rPr>
              <w:t>4</w:t>
            </w:r>
          </w:p>
        </w:tc>
        <w:tc>
          <w:tcPr>
            <w:tcW w:type="dxa" w:w="3408"/>
            <w:vAlign w:val="center"/>
            <w:shd w:fill="F1F5FA"/>
          </w:tcPr>
          <w:p>
            <w:pPr>
              <w:spacing w:after="0"/>
            </w:pPr>
            <w:r/>
            <w:r>
              <w:rPr>
                <w:rFonts w:ascii="Aptos" w:hAnsi="Aptos"/>
                <w:b w:val="0"/>
                <w:sz w:val="16"/>
              </w:rPr>
              <w:t>Management dashboard</w:t>
            </w:r>
          </w:p>
        </w:tc>
        <w:tc>
          <w:tcPr>
            <w:tcW w:type="dxa" w:w="3408"/>
            <w:vAlign w:val="center"/>
            <w:shd w:fill="F1F5FA"/>
          </w:tcPr>
          <w:p>
            <w:pPr>
              <w:spacing w:after="0"/>
            </w:pPr>
            <w:r/>
            <w:r>
              <w:rPr>
                <w:rFonts w:ascii="Aptos" w:hAnsi="Aptos"/>
                <w:b w:val="0"/>
                <w:sz w:val="16"/>
              </w:rPr>
              <w:t>KPI cards, exceptions, finance summary and drill-downs.</w:t>
            </w:r>
          </w:p>
        </w:tc>
      </w:tr>
      <w:tr>
        <w:tc>
          <w:tcPr>
            <w:tcW w:type="dxa" w:w="3408"/>
            <w:vAlign w:val="center"/>
          </w:tcPr>
          <w:p>
            <w:pPr>
              <w:spacing w:after="0"/>
            </w:pPr>
            <w:r/>
            <w:r>
              <w:rPr>
                <w:rFonts w:ascii="Aptos" w:hAnsi="Aptos"/>
                <w:b w:val="0"/>
                <w:sz w:val="16"/>
              </w:rPr>
              <w:t>5</w:t>
            </w:r>
          </w:p>
        </w:tc>
        <w:tc>
          <w:tcPr>
            <w:tcW w:type="dxa" w:w="3408"/>
            <w:vAlign w:val="center"/>
          </w:tcPr>
          <w:p>
            <w:pPr>
              <w:spacing w:after="0"/>
            </w:pPr>
            <w:r/>
            <w:r>
              <w:rPr>
                <w:rFonts w:ascii="Aptos" w:hAnsi="Aptos"/>
                <w:b w:val="0"/>
                <w:sz w:val="16"/>
              </w:rPr>
              <w:t>Jobs / docket workspace</w:t>
            </w:r>
          </w:p>
        </w:tc>
        <w:tc>
          <w:tcPr>
            <w:tcW w:type="dxa" w:w="3408"/>
            <w:vAlign w:val="center"/>
          </w:tcPr>
          <w:p>
            <w:pPr>
              <w:spacing w:after="0"/>
            </w:pPr>
            <w:r/>
            <w:r>
              <w:rPr>
                <w:rFonts w:ascii="Aptos" w:hAnsi="Aptos"/>
                <w:b w:val="0"/>
                <w:sz w:val="16"/>
              </w:rPr>
              <w:t>Searchable jobs, create flow and linked Job Detail tabs.</w:t>
            </w:r>
          </w:p>
        </w:tc>
      </w:tr>
      <w:tr>
        <w:tc>
          <w:tcPr>
            <w:tcW w:type="dxa" w:w="3408"/>
            <w:vAlign w:val="center"/>
            <w:shd w:fill="F1F5FA"/>
          </w:tcPr>
          <w:p>
            <w:pPr>
              <w:spacing w:after="0"/>
            </w:pPr>
            <w:r/>
            <w:r>
              <w:rPr>
                <w:rFonts w:ascii="Aptos" w:hAnsi="Aptos"/>
                <w:b w:val="0"/>
                <w:sz w:val="16"/>
              </w:rPr>
              <w:t>6</w:t>
            </w:r>
          </w:p>
        </w:tc>
        <w:tc>
          <w:tcPr>
            <w:tcW w:type="dxa" w:w="3408"/>
            <w:vAlign w:val="center"/>
            <w:shd w:fill="F1F5FA"/>
          </w:tcPr>
          <w:p>
            <w:pPr>
              <w:spacing w:after="0"/>
            </w:pPr>
            <w:r/>
            <w:r>
              <w:rPr>
                <w:rFonts w:ascii="Aptos" w:hAnsi="Aptos"/>
                <w:b w:val="0"/>
                <w:sz w:val="16"/>
              </w:rPr>
              <w:t>Truck + cargo visualization</w:t>
            </w:r>
          </w:p>
        </w:tc>
        <w:tc>
          <w:tcPr>
            <w:tcW w:type="dxa" w:w="3408"/>
            <w:vAlign w:val="center"/>
            <w:shd w:fill="F1F5FA"/>
          </w:tcPr>
          <w:p>
            <w:pPr>
              <w:spacing w:after="0"/>
            </w:pPr>
            <w:r/>
            <w:r>
              <w:rPr>
                <w:rFonts w:ascii="Aptos" w:hAnsi="Aptos"/>
                <w:b w:val="0"/>
                <w:sz w:val="16"/>
              </w:rPr>
              <w:t>Large truck illustration/cargo bay layout inspired by the supplied RoutaX UI.</w:t>
            </w:r>
          </w:p>
        </w:tc>
      </w:tr>
      <w:tr>
        <w:tc>
          <w:tcPr>
            <w:tcW w:type="dxa" w:w="3408"/>
            <w:vAlign w:val="center"/>
          </w:tcPr>
          <w:p>
            <w:pPr>
              <w:spacing w:after="0"/>
            </w:pPr>
            <w:r/>
            <w:r>
              <w:rPr>
                <w:rFonts w:ascii="Aptos" w:hAnsi="Aptos"/>
                <w:b w:val="0"/>
                <w:sz w:val="16"/>
              </w:rPr>
              <w:t>7</w:t>
            </w:r>
          </w:p>
        </w:tc>
        <w:tc>
          <w:tcPr>
            <w:tcW w:type="dxa" w:w="3408"/>
            <w:vAlign w:val="center"/>
          </w:tcPr>
          <w:p>
            <w:pPr>
              <w:spacing w:after="0"/>
            </w:pPr>
            <w:r/>
            <w:r>
              <w:rPr>
                <w:rFonts w:ascii="Aptos" w:hAnsi="Aptos"/>
                <w:b w:val="0"/>
                <w:sz w:val="16"/>
              </w:rPr>
              <w:t>Freight + customs</w:t>
            </w:r>
          </w:p>
        </w:tc>
        <w:tc>
          <w:tcPr>
            <w:tcW w:type="dxa" w:w="3408"/>
            <w:vAlign w:val="center"/>
          </w:tcPr>
          <w:p>
            <w:pPr>
              <w:spacing w:after="0"/>
            </w:pPr>
            <w:r/>
            <w:r>
              <w:rPr>
                <w:rFonts w:ascii="Aptos" w:hAnsi="Aptos"/>
                <w:b w:val="0"/>
                <w:sz w:val="16"/>
              </w:rPr>
              <w:t>Bookings, containers, milestones and customs status chain.</w:t>
            </w:r>
          </w:p>
        </w:tc>
      </w:tr>
      <w:tr>
        <w:tc>
          <w:tcPr>
            <w:tcW w:type="dxa" w:w="3408"/>
            <w:vAlign w:val="center"/>
            <w:shd w:fill="F1F5FA"/>
          </w:tcPr>
          <w:p>
            <w:pPr>
              <w:spacing w:after="0"/>
            </w:pPr>
            <w:r/>
            <w:r>
              <w:rPr>
                <w:rFonts w:ascii="Aptos" w:hAnsi="Aptos"/>
                <w:b w:val="0"/>
                <w:sz w:val="16"/>
              </w:rPr>
              <w:t>8</w:t>
            </w:r>
          </w:p>
        </w:tc>
        <w:tc>
          <w:tcPr>
            <w:tcW w:type="dxa" w:w="3408"/>
            <w:vAlign w:val="center"/>
            <w:shd w:fill="F1F5FA"/>
          </w:tcPr>
          <w:p>
            <w:pPr>
              <w:spacing w:after="0"/>
            </w:pPr>
            <w:r/>
            <w:r>
              <w:rPr>
                <w:rFonts w:ascii="Aptos" w:hAnsi="Aptos"/>
                <w:b w:val="0"/>
                <w:sz w:val="16"/>
              </w:rPr>
              <w:t>Warehouse + storage</w:t>
            </w:r>
          </w:p>
        </w:tc>
        <w:tc>
          <w:tcPr>
            <w:tcW w:type="dxa" w:w="3408"/>
            <w:vAlign w:val="center"/>
            <w:shd w:fill="F1F5FA"/>
          </w:tcPr>
          <w:p>
            <w:pPr>
              <w:spacing w:after="0"/>
            </w:pPr>
            <w:r/>
            <w:r>
              <w:rPr>
                <w:rFonts w:ascii="Aptos" w:hAnsi="Aptos"/>
                <w:b w:val="0"/>
                <w:sz w:val="16"/>
              </w:rPr>
              <w:t>GRN, stock, locations, handling and storage charge calculations.</w:t>
            </w:r>
          </w:p>
        </w:tc>
      </w:tr>
      <w:tr>
        <w:tc>
          <w:tcPr>
            <w:tcW w:type="dxa" w:w="3408"/>
            <w:vAlign w:val="center"/>
          </w:tcPr>
          <w:p>
            <w:pPr>
              <w:spacing w:after="0"/>
            </w:pPr>
            <w:r/>
            <w:r>
              <w:rPr>
                <w:rFonts w:ascii="Aptos" w:hAnsi="Aptos"/>
                <w:b w:val="0"/>
                <w:sz w:val="16"/>
              </w:rPr>
              <w:t>9</w:t>
            </w:r>
          </w:p>
        </w:tc>
        <w:tc>
          <w:tcPr>
            <w:tcW w:type="dxa" w:w="3408"/>
            <w:vAlign w:val="center"/>
          </w:tcPr>
          <w:p>
            <w:pPr>
              <w:spacing w:after="0"/>
            </w:pPr>
            <w:r/>
            <w:r>
              <w:rPr>
                <w:rFonts w:ascii="Aptos" w:hAnsi="Aptos"/>
                <w:b w:val="0"/>
                <w:sz w:val="16"/>
              </w:rPr>
              <w:t>Finance + job costing</w:t>
            </w:r>
          </w:p>
        </w:tc>
        <w:tc>
          <w:tcPr>
            <w:tcW w:type="dxa" w:w="3408"/>
            <w:vAlign w:val="center"/>
          </w:tcPr>
          <w:p>
            <w:pPr>
              <w:spacing w:after="0"/>
            </w:pPr>
            <w:r/>
            <w:r>
              <w:rPr>
                <w:rFonts w:ascii="Aptos" w:hAnsi="Aptos"/>
                <w:b w:val="0"/>
                <w:sz w:val="16"/>
              </w:rPr>
              <w:t>Charges, supplier costs, invoices, approval states, vouchers and profitability.</w:t>
            </w:r>
          </w:p>
        </w:tc>
      </w:tr>
      <w:tr>
        <w:tc>
          <w:tcPr>
            <w:tcW w:type="dxa" w:w="3408"/>
            <w:vAlign w:val="center"/>
            <w:shd w:fill="F1F5FA"/>
          </w:tcPr>
          <w:p>
            <w:pPr>
              <w:spacing w:after="0"/>
            </w:pPr>
            <w:r/>
            <w:r>
              <w:rPr>
                <w:rFonts w:ascii="Aptos" w:hAnsi="Aptos"/>
                <w:b w:val="0"/>
                <w:sz w:val="16"/>
              </w:rPr>
              <w:t>10</w:t>
            </w:r>
          </w:p>
        </w:tc>
        <w:tc>
          <w:tcPr>
            <w:tcW w:type="dxa" w:w="3408"/>
            <w:vAlign w:val="center"/>
            <w:shd w:fill="F1F5FA"/>
          </w:tcPr>
          <w:p>
            <w:pPr>
              <w:spacing w:after="0"/>
            </w:pPr>
            <w:r/>
            <w:r>
              <w:rPr>
                <w:rFonts w:ascii="Aptos" w:hAnsi="Aptos"/>
                <w:b w:val="0"/>
                <w:sz w:val="16"/>
              </w:rPr>
              <w:t>Documents + alerts + portal</w:t>
            </w:r>
          </w:p>
        </w:tc>
        <w:tc>
          <w:tcPr>
            <w:tcW w:type="dxa" w:w="3408"/>
            <w:vAlign w:val="center"/>
            <w:shd w:fill="F1F5FA"/>
          </w:tcPr>
          <w:p>
            <w:pPr>
              <w:spacing w:after="0"/>
            </w:pPr>
            <w:r/>
            <w:r>
              <w:rPr>
                <w:rFonts w:ascii="Aptos" w:hAnsi="Aptos"/>
                <w:b w:val="0"/>
                <w:sz w:val="16"/>
              </w:rPr>
              <w:t>Digital job folders, exception centre and customer-scoped portal.</w:t>
            </w:r>
          </w:p>
        </w:tc>
      </w:tr>
      <w:tr>
        <w:tc>
          <w:tcPr>
            <w:tcW w:type="dxa" w:w="3408"/>
            <w:vAlign w:val="center"/>
          </w:tcPr>
          <w:p>
            <w:pPr>
              <w:spacing w:after="0"/>
            </w:pPr>
            <w:r/>
            <w:r>
              <w:rPr>
                <w:rFonts w:ascii="Aptos" w:hAnsi="Aptos"/>
                <w:b w:val="0"/>
                <w:sz w:val="16"/>
              </w:rPr>
              <w:t>11</w:t>
            </w:r>
          </w:p>
        </w:tc>
        <w:tc>
          <w:tcPr>
            <w:tcW w:type="dxa" w:w="3408"/>
            <w:vAlign w:val="center"/>
          </w:tcPr>
          <w:p>
            <w:pPr>
              <w:spacing w:after="0"/>
            </w:pPr>
            <w:r/>
            <w:r>
              <w:rPr>
                <w:rFonts w:ascii="Aptos" w:hAnsi="Aptos"/>
                <w:b w:val="0"/>
                <w:sz w:val="16"/>
              </w:rPr>
              <w:t>Polish and validation</w:t>
            </w:r>
          </w:p>
        </w:tc>
        <w:tc>
          <w:tcPr>
            <w:tcW w:type="dxa" w:w="3408"/>
            <w:vAlign w:val="center"/>
          </w:tcPr>
          <w:p>
            <w:pPr>
              <w:spacing w:after="0"/>
            </w:pPr>
            <w:r/>
            <w:r>
              <w:rPr>
                <w:rFonts w:ascii="Aptos" w:hAnsi="Aptos"/>
                <w:b w:val="0"/>
                <w:sz w:val="16"/>
              </w:rPr>
              <w:t>Responsive, accessible, coherent mock data, tests/build and issue report.</w:t>
            </w:r>
          </w:p>
        </w:tc>
      </w:tr>
    </w:tbl>
    <w:p>
      <w:pPr>
        <w:spacing w:after="0"/>
      </w:pPr>
    </w:p>
    <w:p>
      <w:r>
        <w:br w:type="page"/>
      </w:r>
    </w:p>
    <w:p>
      <w:pPr>
        <w:pStyle w:val="Heading1"/>
      </w:pPr>
      <w:r>
        <w:t>PROMPT 1 — Audit the Existing Project Before Coding</w:t>
      </w:r>
    </w:p>
    <w:p>
      <w:pPr>
        <w:spacing w:after="100"/>
      </w:pPr>
      <w:r>
        <w:rPr>
          <w:b/>
        </w:rPr>
        <w:t xml:space="preserve">Goal: </w:t>
      </w:r>
      <w:r>
        <w:t>Learn the actual project structure and produce a safe implementation plan without changing code yet.</w:t>
      </w:r>
    </w:p>
    <w:p>
      <w:pPr>
        <w:keepLines/>
        <w:spacing w:after="100"/>
        <w:ind w:left="173" w:right="173"/>
      </w:pPr>
      <w:r>
        <w:rPr>
          <w:rFonts w:ascii="Aptos" w:hAnsi="Aptos"/>
          <w:sz w:val="17"/>
        </w:rPr>
        <w:t>You are a senior React frontend engineer working in my existing VS Code project for SK Transworld Logistics Malaysia.</w:t>
      </w:r>
    </w:p>
    <w:p>
      <w:pPr>
        <w:keepLines/>
        <w:spacing w:after="100"/>
        <w:ind w:left="173" w:right="173"/>
      </w:pPr>
      <w:r>
        <w:rPr>
          <w:rFonts w:ascii="Aptos" w:hAnsi="Aptos"/>
          <w:sz w:val="17"/>
        </w:rPr>
        <w:t>First inspect the repository and the available project files. Read the SK Transworld Logistics BRD DOCX as the primary terminology reference and the companion requirements PDF for additional module, dashboard, role, and acceptance details. Also inspect any separate project-overview file present in the workspace.</w:t>
      </w:r>
    </w:p>
    <w:p>
      <w:pPr>
        <w:keepLines/>
        <w:spacing w:after="100"/>
        <w:ind w:left="173" w:right="173"/>
      </w:pPr>
      <w:r>
        <w:rPr>
          <w:rFonts w:ascii="Aptos" w:hAnsi="Aptos"/>
          <w:sz w:val="17"/>
        </w:rPr>
        <w:t>Do not modify files in this step.</w:t>
      </w:r>
    </w:p>
    <w:p>
      <w:pPr>
        <w:keepLines/>
        <w:spacing w:after="100"/>
        <w:ind w:left="173" w:right="173"/>
      </w:pPr>
      <w:r>
        <w:rPr>
          <w:rFonts w:ascii="Aptos" w:hAnsi="Aptos"/>
          <w:sz w:val="17"/>
        </w:rPr>
        <w:t>Report:</w:t>
        <w:br/>
        <w:t>- Framework and versions, package manager, routing, styling approach, UI component library, icon library and chart library if present.</w:t>
        <w:br/>
        <w:t>- Current routes/screens, shared components, data/API layer, state management and test/build scripts.</w:t>
        <w:br/>
        <w:t>- Existing implemented features versus missing screens.</w:t>
        <w:br/>
        <w:t>- How the supplied RoutaX references should influence the layout: cool blue-gray background, white rounded cards, blue primary actions, amber warning states, compact KPIs, truck/cargo focal visualization, and fleet list.</w:t>
        <w:br/>
        <w:t>- Risks, existing conventions to preserve, and a step-by-step implementation plan.</w:t>
      </w:r>
    </w:p>
    <w:p>
      <w:pPr>
        <w:keepLines/>
        <w:spacing w:after="100"/>
        <w:ind w:left="173" w:right="173"/>
      </w:pPr>
      <w:r>
        <w:rPr>
          <w:rFonts w:ascii="Aptos" w:hAnsi="Aptos"/>
          <w:sz w:val="17"/>
        </w:rPr>
        <w:t>Use source terminology such as Job No., docket, job cover sheet, BL/HBL/MBL, FCL/LCL, ETA/ETD, K1/K2/K3/K4/K5/K8/ZB, EDO, GRN, POD, supplier cost, payment voucher, e-invoice, bank reconciliation and job costing.</w:t>
      </w:r>
    </w:p>
    <w:p>
      <w:pPr>
        <w:keepLines/>
        <w:spacing w:after="100"/>
        <w:ind w:left="173" w:right="173"/>
      </w:pPr>
      <w:r>
        <w:rPr>
          <w:rFonts w:ascii="Aptos" w:hAnsi="Aptos"/>
          <w:sz w:val="17"/>
        </w:rPr>
        <w:t>Stop after the audit and plan. Do not generate a new app or replace the existing stack. Wait for my approval before proceeding.</w:t>
      </w:r>
    </w:p>
    <w:p>
      <w:pPr>
        <w:pStyle w:val="Heading1"/>
      </w:pPr>
      <w:r>
        <w:t>PROMPT 2 — Establish the UI Theme and Application Shell</w:t>
      </w:r>
    </w:p>
    <w:p>
      <w:pPr>
        <w:spacing w:after="100"/>
      </w:pPr>
      <w:r>
        <w:rPr>
          <w:b/>
        </w:rPr>
        <w:t xml:space="preserve">Goal: </w:t>
      </w:r>
      <w:r>
        <w:t>Create the consistent visual foundation before adding module content.</w:t>
      </w:r>
    </w:p>
    <w:p>
      <w:pPr>
        <w:keepLines/>
        <w:spacing w:after="100"/>
        <w:ind w:left="173" w:right="173"/>
      </w:pPr>
      <w:r>
        <w:rPr>
          <w:rFonts w:ascii="Aptos" w:hAnsi="Aptos"/>
          <w:sz w:val="17"/>
        </w:rPr>
        <w:t>Implement only the shared application shell and design tokens in the existing React project. Follow the architecture you reported in Prompt 1; do not rewrite unrelated components.</w:t>
      </w:r>
    </w:p>
    <w:p>
      <w:pPr>
        <w:keepLines/>
        <w:spacing w:after="100"/>
        <w:ind w:left="173" w:right="173"/>
      </w:pPr>
      <w:r>
        <w:rPr>
          <w:rFonts w:ascii="Aptos" w:hAnsi="Aptos"/>
          <w:sz w:val="17"/>
        </w:rPr>
        <w:t>Visual direction from the supplied RoutaX references:</w:t>
        <w:br/>
        <w:t>- Main canvas: cool pale blue-gray, approximately #E9EDF6.</w:t>
        <w:br/>
        <w:t>- Cards: white/off-white surfaces, soft low-contrast shadows, subtle borders, rounded corners.</w:t>
        <w:br/>
        <w:t>- Primary action/accent: #3783FF.</w:t>
        <w:br/>
        <w:t>- Warning/attention accent: #EFB54A.</w:t>
        <w:br/>
        <w:t>- Text: near-black primary and muted slate secondary.</w:t>
        <w:br/>
        <w:t>- Compact top header with SK Transworld Logistics branding, navigation, global search, notifications, settings/profile and optional global KPI strip.</w:t>
        <w:br/>
        <w:t>- Main navigation should group Dashboard, Jobs/Dockets, Quotations &amp; Tariffs, Freight Forwarding, Customs, Haulage/Fleet, Warehouse, Documents, Billing &amp; Finance, Job Costing &amp; Reports, Alerts, Customer Portal and Settings/Master Data.</w:t>
        <w:br/>
        <w:t>- Avoid copying the RoutaX brand. Use SK Transworld Logistics identity while borrowing the layout and visual style.</w:t>
        <w:br/>
        <w:t>- Use consistent spacing, typography, radii, card styles, table styles, status badges, buttons, inputs and focus states.</w:t>
        <w:br/>
        <w:t>- Make the shell responsive: collapsible navigation on smaller screens, cards reflow, no horizontal page overflow.</w:t>
      </w:r>
    </w:p>
    <w:p>
      <w:pPr>
        <w:keepLines/>
        <w:spacing w:after="100"/>
        <w:ind w:left="173" w:right="173"/>
      </w:pPr>
      <w:r>
        <w:rPr>
          <w:rFonts w:ascii="Aptos" w:hAnsi="Aptos"/>
          <w:sz w:val="17"/>
        </w:rPr>
        <w:t>Use existing installed icons and UI libraries. Do not add dependencies unless needed and justified. Add placeholder routes/pages only if consistent with the current router. Do not fill pages with fake content yet.</w:t>
      </w:r>
    </w:p>
    <w:p>
      <w:pPr>
        <w:keepLines/>
        <w:spacing w:after="100"/>
        <w:ind w:left="173" w:right="173"/>
      </w:pPr>
      <w:r>
        <w:rPr>
          <w:rFonts w:ascii="Aptos" w:hAnsi="Aptos"/>
          <w:sz w:val="17"/>
        </w:rPr>
        <w:t>Run the available lint/type-check/build checks and report changed files and results before continuing.</w:t>
      </w:r>
    </w:p>
    <w:p>
      <w:pPr>
        <w:pStyle w:val="Heading1"/>
      </w:pPr>
      <w:r>
        <w:t>PROMPT 3 — Build a Shared Job-Centred Demo Data Model</w:t>
      </w:r>
    </w:p>
    <w:p>
      <w:pPr>
        <w:spacing w:after="100"/>
      </w:pPr>
      <w:r>
        <w:rPr>
          <w:b/>
        </w:rPr>
        <w:t xml:space="preserve">Goal: </w:t>
      </w:r>
      <w:r>
        <w:t>Create coherent dynamic values that every screen will reuse.</w:t>
      </w:r>
    </w:p>
    <w:p>
      <w:pPr>
        <w:keepLines/>
        <w:spacing w:after="100"/>
        <w:ind w:left="173" w:right="173"/>
      </w:pPr>
      <w:r>
        <w:rPr>
          <w:rFonts w:ascii="Aptos" w:hAnsi="Aptos"/>
          <w:sz w:val="17"/>
        </w:rPr>
        <w:t>Implement the shared typed mock-data layer for the logistics and accounting frontend. Inspect the existing architecture and use its conventions. Do not build all screens in this step.</w:t>
      </w:r>
    </w:p>
    <w:p>
      <w:pPr>
        <w:keepLines/>
        <w:spacing w:after="100"/>
        <w:ind w:left="173" w:right="173"/>
      </w:pPr>
      <w:r>
        <w:rPr>
          <w:rFonts w:ascii="Aptos" w:hAnsi="Aptos"/>
          <w:sz w:val="17"/>
        </w:rPr>
        <w:t>Every shipment/job must use one Job No. as the cross-department key. Create reusable TypeScript types and mock records, preferably in the project's existing data/types structure, for:</w:t>
        <w:br/>
        <w:t>- Customers and suppliers/carriers.</w:t>
        <w:br/>
        <w:t>- Quotations and rate lines.</w:t>
        <w:br/>
        <w:t>- Jobs/dockets and job cover-sheet fields.</w:t>
        <w:br/>
        <w:t>- Shipments, containers, BL/HBL/MBL, vessel/voyage, ETA/ETD and milestones.</w:t>
        <w:br/>
        <w:t>- Customs declarations, duty/SST, customs payments, SSR, inspection, release, EDO and gate pass.</w:t>
        <w:br/>
        <w:t>- Trucks, trailers, drivers, trips, trip expenses and POD.</w:t>
        <w:br/>
        <w:t>- Warehouse receipts/GRN, stock items/movements, locations, storage and handling events.</w:t>
        <w:br/>
        <w:t>- Documents and expected-document checklist.</w:t>
        <w:br/>
        <w:t>- Operational charge suggestions, supplier costs, payment/reimbursement requests, customer invoices, e-invoice mock statuses, payment vouchers, receivables/payables and bank reconciliation.</w:t>
        <w:br/>
        <w:t>- Alerts and audit/activity events.</w:t>
      </w:r>
    </w:p>
    <w:p>
      <w:pPr>
        <w:keepLines/>
        <w:spacing w:after="100"/>
        <w:ind w:left="173" w:right="173"/>
      </w:pPr>
      <w:r>
        <w:rPr>
          <w:rFonts w:ascii="Aptos" w:hAnsi="Aptos"/>
          <w:sz w:val="17"/>
        </w:rPr>
        <w:t>Use realistic illustrative Malaysian data and RM currency. Example Job No. values may resemble SKI2610028, but mark numbering as illustrative pending client confirmation. Include multiple records with different statuses so filters, charts and exception states can be demonstrated.</w:t>
      </w:r>
    </w:p>
    <w:p>
      <w:pPr>
        <w:keepLines/>
        <w:spacing w:after="100"/>
        <w:ind w:left="173" w:right="173"/>
      </w:pPr>
      <w:r>
        <w:rPr>
          <w:rFonts w:ascii="Aptos" w:hAnsi="Aptos"/>
          <w:sz w:val="17"/>
        </w:rPr>
        <w:t>Build calculation helpers for:</w:t>
        <w:br/>
        <w:t>- KPI totals and counts.</w:t>
        <w:br/>
        <w:t>- Revenue, actual/estimated cost, gross profit and margin.</w:t>
        <w:br/>
        <w:t>- Charge totals by department.</w:t>
        <w:br/>
        <w:t>- Free-days remaining and illustrative storage charges.</w:t>
        <w:br/>
        <w:t>- Alert counts and ageing buckets.</w:t>
      </w:r>
    </w:p>
    <w:p>
      <w:pPr>
        <w:keepLines/>
        <w:spacing w:after="100"/>
        <w:ind w:left="173" w:right="173"/>
      </w:pPr>
      <w:r>
        <w:rPr>
          <w:rFonts w:ascii="Aptos" w:hAnsi="Aptos"/>
          <w:sz w:val="17"/>
        </w:rPr>
        <w:t>All values must be derived from shared records; do not hard-code independent KPI values in components. Maintain operational status separately from financial status. Keep actual and estimated costs distinct. Label external integration statuses as demo/unconfigured.</w:t>
      </w:r>
    </w:p>
    <w:p>
      <w:pPr>
        <w:keepLines/>
        <w:spacing w:after="100"/>
        <w:ind w:left="173" w:right="173"/>
      </w:pPr>
      <w:r>
        <w:rPr>
          <w:rFonts w:ascii="Aptos" w:hAnsi="Aptos"/>
          <w:sz w:val="17"/>
        </w:rPr>
        <w:t>Add a short data-model summary and test or sanity-check the calculation helpers. Run checks and report results. Stop after the shared data layer and helper functions are ready.</w:t>
      </w:r>
    </w:p>
    <w:p>
      <w:pPr>
        <w:pStyle w:val="Heading1"/>
      </w:pPr>
      <w:r>
        <w:t>PROMPT 4 — Management Dashboard with Dynamic Values</w:t>
      </w:r>
    </w:p>
    <w:p>
      <w:pPr>
        <w:spacing w:after="100"/>
      </w:pPr>
      <w:r>
        <w:rPr>
          <w:b/>
        </w:rPr>
        <w:t xml:space="preserve">Goal: </w:t>
      </w:r>
      <w:r>
        <w:t>Implement the first full screen and connect it to the shared data model.</w:t>
      </w:r>
    </w:p>
    <w:p>
      <w:pPr>
        <w:keepLines/>
        <w:spacing w:after="100"/>
        <w:ind w:left="173" w:right="173"/>
      </w:pPr>
      <w:r>
        <w:rPr>
          <w:rFonts w:ascii="Aptos" w:hAnsi="Aptos"/>
          <w:sz w:val="17"/>
        </w:rPr>
        <w:t>Implement the Management Dashboard using the shared data model from the previous step and the RoutaX-inspired design system.</w:t>
      </w:r>
    </w:p>
    <w:p>
      <w:pPr>
        <w:keepLines/>
        <w:spacing w:after="100"/>
        <w:ind w:left="173" w:right="173"/>
      </w:pPr>
      <w:r>
        <w:rPr>
          <w:rFonts w:ascii="Aptos" w:hAnsi="Aptos"/>
          <w:sz w:val="17"/>
        </w:rPr>
        <w:t>Layout:</w:t>
        <w:br/>
        <w:t>- Header/title area with date range and key filters.</w:t>
        <w:br/>
        <w:t>- KPI cards for deliveries today, containers arriving, customs pending, EDO pending, warehouse deliveries, trucks required, today's revenue, month-to-date revenue, outstanding customer payments and supplier payable. Use a sensible subset above the fold; avoid overcrowding.</w:t>
        <w:br/>
        <w:t>- A job profitability overview showing revenue, cost, gross profit and margin, with a department breakdown for forwarding, customs, haulage and warehouse.</w:t>
        <w:br/>
        <w:t>- A shipment/operations table with Job No., customer, container, current milestone, ETA, operational status, billing status and owner.</w:t>
        <w:br/>
        <w:t>- An exception/alerts panel for free-time expiry, EDO not released, overdue payments, long-stay cargo, missing documents and vehicle road tax/insurance due.</w:t>
        <w:br/>
        <w:t>- A recent activity feed with meaningful event names and timestamps.</w:t>
        <w:br/>
        <w:t>- Quick actions for Create Job, Create Quotation, Add Supplier Cost and Review Invoices.</w:t>
      </w:r>
    </w:p>
    <w:p>
      <w:pPr>
        <w:keepLines/>
        <w:spacing w:after="100"/>
        <w:ind w:left="173" w:right="173"/>
      </w:pPr>
      <w:r>
        <w:rPr>
          <w:rFonts w:ascii="Aptos" w:hAnsi="Aptos"/>
          <w:sz w:val="17"/>
        </w:rPr>
        <w:t>Interaction:</w:t>
        <w:br/>
        <w:t>- Date range and available filters update KPI values and visible records.</w:t>
        <w:br/>
        <w:t>- Clicking a KPI, job row or alert navigates to a relevant filtered list or detail page.</w:t>
        <w:br/>
        <w:t>- Show loading/empty states where appropriate and a clear Demo Data label.</w:t>
        <w:br/>
        <w:t>- Every number must be derived from shared mock records and reconcile with related lists.</w:t>
      </w:r>
    </w:p>
    <w:p>
      <w:pPr>
        <w:keepLines/>
        <w:spacing w:after="100"/>
        <w:ind w:left="173" w:right="173"/>
      </w:pPr>
      <w:r>
        <w:rPr>
          <w:rFonts w:ascii="Aptos" w:hAnsi="Aptos"/>
          <w:sz w:val="17"/>
        </w:rPr>
        <w:t>Do not claim any live GPS, bank, customs or e-invoice connection. Use the existing routing and component system. Test filters and calculations, run build/type-check/lint, and report before continuing.</w:t>
      </w:r>
    </w:p>
    <w:p>
      <w:pPr>
        <w:pStyle w:val="Heading1"/>
      </w:pPr>
      <w:r>
        <w:t>PROMPT 5 — Jobs / Dockets List and Job Detail Workspace</w:t>
      </w:r>
    </w:p>
    <w:p>
      <w:pPr>
        <w:spacing w:after="100"/>
      </w:pPr>
      <w:r>
        <w:rPr>
          <w:b/>
        </w:rPr>
        <w:t xml:space="preserve">Goal: </w:t>
      </w:r>
      <w:r>
        <w:t>Create the central workflow where all departments use the same Job No.</w:t>
      </w:r>
    </w:p>
    <w:p>
      <w:pPr>
        <w:keepLines/>
        <w:spacing w:after="100"/>
        <w:ind w:left="173" w:right="173"/>
      </w:pPr>
      <w:r>
        <w:rPr>
          <w:rFonts w:ascii="Aptos" w:hAnsi="Aptos"/>
          <w:sz w:val="17"/>
        </w:rPr>
        <w:t>Implement the Jobs/Dockets module around the shared Job No. record.</w:t>
      </w:r>
    </w:p>
    <w:p>
      <w:pPr>
        <w:keepLines/>
        <w:spacing w:after="100"/>
        <w:ind w:left="173" w:right="173"/>
      </w:pPr>
      <w:r>
        <w:rPr>
          <w:rFonts w:ascii="Aptos" w:hAnsi="Aptos"/>
          <w:sz w:val="17"/>
        </w:rPr>
        <w:t>Jobs list:</w:t>
        <w:br/>
        <w:t>- Search by Job No., customer, container No., BL/HBL/MBL, vessel, status and ETA where fields exist.</w:t>
        <w:br/>
        <w:t>- Filters for operational status, financial status, service/department, customer and date range.</w:t>
        <w:br/>
        <w:t>- Sortable table with Job No., customer, service type, shipment type, container(s), ETA/ETD, owner, operational status, billing status, missing-document indicator and gross profit where the user role permits it.</w:t>
        <w:br/>
        <w:t>- Create Job flow with customer, accepted quotation link, service, import/export/transshipment, FCL/LCL and shipment details. Generate a demo Job No. using a clearly illustrative local rule.</w:t>
        <w:br/>
        <w:t>- When creating from an accepted quotation, carry forward customer, service lines and rates rather than asking the user to re-enter them.</w:t>
      </w:r>
    </w:p>
    <w:p>
      <w:pPr>
        <w:keepLines/>
        <w:spacing w:after="100"/>
        <w:ind w:left="173" w:right="173"/>
      </w:pPr>
      <w:r>
        <w:rPr>
          <w:rFonts w:ascii="Aptos" w:hAnsi="Aptos"/>
          <w:sz w:val="17"/>
        </w:rPr>
        <w:t>Job Detail workspace:</w:t>
        <w:br/>
        <w:t>- Keep Job No. and customer visible across tabs.</w:t>
        <w:br/>
        <w:t>- Tabs: Overview, Forwarding, Customs, Haulage, Warehouse, Documents, Charges &amp; Costs, Invoices, Job Costing, Activity/Audit Trail.</w:t>
        <w:br/>
        <w:t>- Show a chronological milestone timeline and linked containers, trips, documents, charges/costs and invoices.</w:t>
        <w:br/>
        <w:t>- Display operational status separately from financial status.</w:t>
        <w:br/>
        <w:t>- Show performed-but-unbilled services, missing required documents and close-out blockers.</w:t>
        <w:br/>
        <w:t>- Do not allow mock job closure while unbilled charges/costs or required documents remain, unless an explicit approved waiver/exception is recorded.</w:t>
      </w:r>
    </w:p>
    <w:p>
      <w:pPr>
        <w:keepLines/>
        <w:spacing w:after="100"/>
        <w:ind w:left="173" w:right="173"/>
      </w:pPr>
      <w:r>
        <w:rPr>
          <w:rFonts w:ascii="Aptos" w:hAnsi="Aptos"/>
          <w:sz w:val="17"/>
        </w:rPr>
        <w:t>Use the same shared mock data. Add local interactions for search, filters, row selection, tabs and create-job validation. Do not build separate disconnected sample records. Run checks and report results.</w:t>
      </w:r>
    </w:p>
    <w:p>
      <w:pPr>
        <w:pStyle w:val="Heading1"/>
      </w:pPr>
      <w:r>
        <w:t>PROMPT 6 — Truck and Cargo Visualization (Use the Supplied RoutaX Reference)</w:t>
      </w:r>
    </w:p>
    <w:p>
      <w:pPr>
        <w:spacing w:after="100"/>
      </w:pPr>
      <w:r>
        <w:rPr>
          <w:b/>
        </w:rPr>
        <w:t xml:space="preserve">Goal: </w:t>
      </w:r>
      <w:r>
        <w:t>Build a distinctive haulage screen with a large truck/cargo focal point inspired by the supplied screenshot.</w:t>
      </w:r>
    </w:p>
    <w:p>
      <w:pPr>
        <w:keepLines/>
        <w:spacing w:after="100"/>
        <w:ind w:left="173" w:right="173"/>
      </w:pPr>
      <w:r>
        <w:rPr>
          <w:rFonts w:ascii="Aptos" w:hAnsi="Aptos"/>
          <w:sz w:val="17"/>
        </w:rPr>
        <w:t>Implement the Haulage / Fleet screen and a reusable truck-and-cargo visualization component. Use the supplied RoutaX reference image as visual inspiration: the truck is the large central focal point, its cargo bay shows labeled cargo/container slots, occupied slots use blue highlighting, and a truck list sits to the side. Do not copy the RoutaX branding.</w:t>
      </w:r>
    </w:p>
    <w:p>
      <w:pPr>
        <w:keepLines/>
        <w:spacing w:after="100"/>
        <w:ind w:left="173" w:right="173"/>
      </w:pPr>
      <w:r>
        <w:rPr>
          <w:rFonts w:ascii="Aptos" w:hAnsi="Aptos"/>
          <w:sz w:val="17"/>
        </w:rPr>
        <w:t>Truck design requirements:</w:t>
        <w:br/>
        <w:t>- Create a clean side-view truck/tractor-trailer illustration suitable for a fleet-management dashboard. Prefer an existing local asset if one is already present. If none exists, create a simple inline SVG or CSS illustration with a trailer body, cab, wheels and restrained details. Avoid relying on a remote image URL.</w:t>
        <w:br/>
        <w:t>- Place a cargo/container bay panel within or adjacent to the trailer visualization. Show multiple labeled cargo slots/cards with cargo reference, container ID or shipment/job reference, weight and status. Use blue for selected/occupied slots and neutral surfaces for empty slots.</w:t>
        <w:br/>
        <w:t>- The truck should look like a logistics vehicle, not a generic rectangle. Keep the illustration responsive and visually balanced.</w:t>
        <w:br/>
        <w:t>- Provide a selectable truck list on the right (desktop) or below (mobile) with truck ID, truck model, assigned driver, trip status and capacity/availability indicator.</w:t>
        <w:br/>
        <w:t>- Selecting a truck updates the summary, assigned trip, driver, capacity and cargo visualization using the shared data model.</w:t>
        <w:br/>
        <w:t>- Clicking a cargo slot opens the related Job No./container detail. Show cargo assignments from shared mock data; do not invent a one-to-one relationship if the data has multiple containers or jobs.</w:t>
        <w:br/>
        <w:t>- Add vehicle summary fields for truck/trailer, driver, route/pickup/delivery, capacity, fuel or compliance values only when represented in demo data.</w:t>
        <w:br/>
        <w:t>- Lower cards: trip route map placeholder, trip progress/milestones, trip expenses and profit summary, POD status, and road tax/insurance reminders.</w:t>
        <w:br/>
        <w:t>- If there is no map integration, use a self-contained stylized map placeholder and label it Demo Route. If there is no GPS integration, show “GPS demo / not connected,” not live location.</w:t>
        <w:br/>
        <w:t>- Use primary blue #3783FF and amber #EFB54A with light gray-blue canvas and white cards.</w:t>
      </w:r>
    </w:p>
    <w:p>
      <w:pPr>
        <w:keepLines/>
        <w:spacing w:after="100"/>
        <w:ind w:left="173" w:right="173"/>
      </w:pPr>
      <w:r>
        <w:rPr>
          <w:rFonts w:ascii="Aptos" w:hAnsi="Aptos"/>
          <w:sz w:val="17"/>
        </w:rPr>
        <w:t>Interactions:</w:t>
        <w:br/>
        <w:t>- Select truck, select cargo slot, filter by availability/status, open trip/job detail, and update a mock trip status.</w:t>
        <w:br/>
        <w:t>- Display trip billing and cost breakdown. The documented illustrative example may be used: RM1,200 billing − RM700 trucking − RM80 toll − RM50 other cost = RM370 profit. Clearly label sample values as illustrative.</w:t>
        <w:br/>
        <w:t>- Keep desktop two-column composition with truck/cargo visualization as the main focus and truck list beside it. Stack responsively on smaller screens.</w:t>
      </w:r>
    </w:p>
    <w:p>
      <w:pPr>
        <w:keepLines/>
        <w:spacing w:after="100"/>
        <w:ind w:left="173" w:right="173"/>
      </w:pPr>
      <w:r>
        <w:rPr>
          <w:rFonts w:ascii="Aptos" w:hAnsi="Aptos"/>
          <w:sz w:val="17"/>
        </w:rPr>
        <w:t>Use existing dependencies and patterns. Run tests/build/type-check and report results. Do not claim real GPS, camera feeds or telephony are connected.</w:t>
      </w:r>
    </w:p>
    <w:p>
      <w:pPr>
        <w:pStyle w:val="Heading1"/>
      </w:pPr>
      <w:r>
        <w:t>PROMPT 7 — Freight Forwarding, Container Tracking and Customs</w:t>
      </w:r>
    </w:p>
    <w:p>
      <w:pPr>
        <w:spacing w:after="100"/>
      </w:pPr>
      <w:r>
        <w:rPr>
          <w:b/>
        </w:rPr>
        <w:t xml:space="preserve">Goal: </w:t>
      </w:r>
      <w:r>
        <w:t>Implement forwarding and customs workflows linked to each Job No.</w:t>
      </w:r>
    </w:p>
    <w:p>
      <w:pPr>
        <w:keepLines/>
        <w:spacing w:after="100"/>
        <w:ind w:left="173" w:right="173"/>
      </w:pPr>
      <w:r>
        <w:rPr>
          <w:rFonts w:ascii="Aptos" w:hAnsi="Aptos"/>
          <w:sz w:val="17"/>
        </w:rPr>
        <w:t>Implement Freight Forwarding, Container Tracking and Customs Clearance screens using the same shared Job No. data.</w:t>
      </w:r>
    </w:p>
    <w:p>
      <w:pPr>
        <w:keepLines/>
        <w:spacing w:after="100"/>
        <w:ind w:left="173" w:right="173"/>
      </w:pPr>
      <w:r>
        <w:rPr>
          <w:rFonts w:ascii="Aptos" w:hAnsi="Aptos"/>
          <w:sz w:val="17"/>
        </w:rPr>
        <w:t>Freight Forwarding:</w:t>
        <w:br/>
        <w:t>- Search/filter by Job No., customer, container, BL/HBL/MBL, status, vessel and ETA.</w:t>
        <w:br/>
        <w:t>- Show booking, carrier/co-loader, vessel/voyage, ETA/ETD, FCL/LCL, import/export/transshipment, containers and milestone history.</w:t>
        <w:br/>
        <w:t>- Display free days remaining, demurrage/detention exposure and stale/overdue milestones when data exists.</w:t>
        <w:br/>
        <w:t>- Keep the applied rate snapshot and charge/cost relationship visible where relevant.</w:t>
      </w:r>
    </w:p>
    <w:p>
      <w:pPr>
        <w:keepLines/>
        <w:spacing w:after="100"/>
        <w:ind w:left="173" w:right="173"/>
      </w:pPr>
      <w:r>
        <w:rPr>
          <w:rFonts w:ascii="Aptos" w:hAnsi="Aptos"/>
          <w:sz w:val="17"/>
        </w:rPr>
        <w:t>Customs Clearance:</w:t>
        <w:br/>
        <w:t>- Record declaration types K1, K2, K3, K4, K5, K8 and ZB, plus DG declaration, DSO and IGM where applicable.</w:t>
        <w:br/>
        <w:t>- Show duty/SST amounts, customs payment, SSR, inspection, customs approval, release status, EDO and gate pass.</w:t>
        <w:br/>
        <w:t>- Use a clear lifecycle: Job/Container → Declaration → Duty/SST → SSR/Inspection → Customs Approval → EDO → Gate Pass → Delivery.</w:t>
        <w:br/>
        <w:t>- Show each event's status, timestamp, owner and supporting document/evidence.</w:t>
        <w:br/>
        <w:t>- Uploading a document must not automatically mean approval or release has happened.</w:t>
        <w:br/>
        <w:t>- Status options should be data-driven/configurable where policy is not confirmed.</w:t>
      </w:r>
    </w:p>
    <w:p>
      <w:pPr>
        <w:keepLines/>
        <w:spacing w:after="100"/>
        <w:ind w:left="173" w:right="173"/>
      </w:pPr>
      <w:r>
        <w:rPr>
          <w:rFonts w:ascii="Aptos" w:hAnsi="Aptos"/>
          <w:sz w:val="17"/>
        </w:rPr>
        <w:t>Interactions:</w:t>
        <w:br/>
        <w:t>- Open the linked Job Detail workspace from any row.</w:t>
        <w:br/>
        <w:t>- Update mock milestones/statuses, add a note, and filter pending/overdue records.</w:t>
        <w:br/>
        <w:t>- Distinguish manual, imported and integration-verified tracking events if present in the data.</w:t>
        <w:br/>
        <w:t>- External customs/carrier integration must be labelled demo/unconfigured.</w:t>
      </w:r>
    </w:p>
    <w:p>
      <w:pPr>
        <w:keepLines/>
        <w:spacing w:after="100"/>
        <w:ind w:left="173" w:right="173"/>
      </w:pPr>
      <w:r>
        <w:rPr>
          <w:rFonts w:ascii="Aptos" w:hAnsi="Aptos"/>
          <w:sz w:val="17"/>
        </w:rPr>
        <w:t>Keep all lists and counts tied to the shared data model. Test complete and incomplete customs chains, overdue milestones and unknown searches. Run checks and report results.</w:t>
      </w:r>
    </w:p>
    <w:p>
      <w:pPr>
        <w:pStyle w:val="Heading1"/>
      </w:pPr>
      <w:r>
        <w:t>PROMPT 8 — Warehouse, Inventory and Storage Billing</w:t>
      </w:r>
    </w:p>
    <w:p>
      <w:pPr>
        <w:spacing w:after="100"/>
      </w:pPr>
      <w:r>
        <w:rPr>
          <w:b/>
        </w:rPr>
        <w:t xml:space="preserve">Goal: </w:t>
      </w:r>
      <w:r>
        <w:t>Build warehouse movement and storage screens with explainable calculations.</w:t>
      </w:r>
    </w:p>
    <w:p>
      <w:pPr>
        <w:keepLines/>
        <w:spacing w:after="100"/>
        <w:ind w:left="173" w:right="173"/>
      </w:pPr>
      <w:r>
        <w:rPr>
          <w:rFonts w:ascii="Aptos" w:hAnsi="Aptos"/>
          <w:sz w:val="17"/>
        </w:rPr>
        <w:t>Implement Warehouse &amp; Inventory and Storage Billing &amp; Handling screens using the shared Job No.-centred data model.</w:t>
      </w:r>
    </w:p>
    <w:p>
      <w:pPr>
        <w:keepLines/>
        <w:spacing w:after="100"/>
        <w:ind w:left="173" w:right="173"/>
      </w:pPr>
      <w:r>
        <w:rPr>
          <w:rFonts w:ascii="Aptos" w:hAnsi="Aptos"/>
          <w:sz w:val="17"/>
        </w:rPr>
        <w:t>Warehouse:</w:t>
        <w:br/>
        <w:t>- Inbound receiving: arrival, unloading, cargo count, damage/shortage photos and Goods Received Note (GRN).</w:t>
        <w:br/>
        <w:t>- Inventory attributes: customer, Job No., container, SKU, carton, pallet, CBM, weight, bin/rack location, batch/lot and optional expiry date.</w:t>
        <w:br/>
        <w:t>- Stock in/out/balance, movement history, palletisation/labelling, outbound pick/pack/load/dispatch and POD.</w:t>
        <w:br/>
        <w:t>- Every warehouse transaction must link to the relevant Job No. and retain event, operator, timestamp and quantity.</w:t>
        <w:br/>
        <w:t>- Corrections for damage/shortage should create a mock adjustment record rather than silently overwriting the original count.</w:t>
      </w:r>
    </w:p>
    <w:p>
      <w:pPr>
        <w:keepLines/>
        <w:spacing w:after="100"/>
        <w:ind w:left="173" w:right="173"/>
      </w:pPr>
      <w:r>
        <w:rPr>
          <w:rFonts w:ascii="Aptos" w:hAnsi="Aptos"/>
          <w:sz w:val="17"/>
        </w:rPr>
        <w:t>Storage Billing &amp; Handling:</w:t>
        <w:br/>
        <w:t>- Configure customer-specific free days and charging basis.</w:t>
        <w:br/>
        <w:t>- Show storage start/end, free days, chargeable days/quantity, rate, calculation breakdown and proposed charge.</w:t>
        <w:br/>
        <w:t>- Illustrative sample rules only: Customer A: 3 free days then RM3/CBM/day; Customer B: RM8/pallet/day; Customer C: RM5/carton/month. Mark these as examples pending confirmation.</w:t>
        <w:br/>
        <w:t>- Capture handling events such as loading/unloading, palletisation, stretch wrap, labelling, forklift and special handling.</w:t>
        <w:br/>
        <w:t>- Create draft charge suggestions from eligible events; allow review, reasoned adjustment and mock approval.</w:t>
        <w:br/>
        <w:t>- Prevent duplicate billing for the same event/period in the demo logic.</w:t>
      </w:r>
    </w:p>
    <w:p>
      <w:pPr>
        <w:keepLines/>
        <w:spacing w:after="100"/>
        <w:ind w:left="173" w:right="173"/>
      </w:pPr>
      <w:r>
        <w:rPr>
          <w:rFonts w:ascii="Aptos" w:hAnsi="Aptos"/>
          <w:sz w:val="17"/>
        </w:rPr>
        <w:t>Interactions:</w:t>
        <w:br/>
        <w:t>- Search/filter by Job No., customer, SKU, location and status.</w:t>
        <w:br/>
        <w:t>- Open related job/container/document details.</w:t>
        <w:br/>
        <w:t>- Show empty/loading states and calculation explanations.</w:t>
      </w:r>
    </w:p>
    <w:p>
      <w:pPr>
        <w:keepLines/>
        <w:spacing w:after="100"/>
        <w:ind w:left="173" w:right="173"/>
      </w:pPr>
      <w:r>
        <w:rPr>
          <w:rFonts w:ascii="Aptos" w:hAnsi="Aptos"/>
          <w:sz w:val="17"/>
        </w:rPr>
        <w:t>Do not hard-code uncertain free-day counting, partial-period rounding or minimum-charge policies. Mark these as configurable/pending confirmation. Run checks and report results.</w:t>
      </w:r>
    </w:p>
    <w:p>
      <w:pPr>
        <w:pStyle w:val="Heading1"/>
      </w:pPr>
      <w:r>
        <w:t>PROMPT 9 — Digital Documents and Job Folder</w:t>
      </w:r>
    </w:p>
    <w:p>
      <w:pPr>
        <w:spacing w:after="100"/>
      </w:pPr>
      <w:r>
        <w:rPr>
          <w:b/>
        </w:rPr>
        <w:t xml:space="preserve">Goal: </w:t>
      </w:r>
      <w:r>
        <w:t>Replace paper-based job files with a usable document-management mockup.</w:t>
      </w:r>
    </w:p>
    <w:p>
      <w:pPr>
        <w:keepLines/>
        <w:spacing w:after="100"/>
        <w:ind w:left="173" w:right="173"/>
      </w:pPr>
      <w:r>
        <w:rPr>
          <w:rFonts w:ascii="Aptos" w:hAnsi="Aptos"/>
          <w:sz w:val="17"/>
        </w:rPr>
        <w:t>Implement Digital Document Management with one searchable digital folder per Job No., using the shared data model.</w:t>
      </w:r>
    </w:p>
    <w:p>
      <w:pPr>
        <w:keepLines/>
        <w:spacing w:after="100"/>
        <w:ind w:left="173" w:right="173"/>
      </w:pPr>
      <w:r>
        <w:rPr>
          <w:rFonts w:ascii="Aptos" w:hAnsi="Aptos"/>
          <w:sz w:val="17"/>
        </w:rPr>
        <w:t>Requirements:</w:t>
        <w:br/>
        <w:t>- Search by Job No., document type, container, trip, invoice, filename and status where data exists.</w:t>
        <w:br/>
        <w:t>- Support document categories: commercial invoice, packing list, BL/HBL/MBL, K1/K2 and other customs documents, EDO, LOI, delivery order, gate pass, POD, damage photos and customer correspondence.</w:t>
        <w:br/>
        <w:t>- Show filename, document type, linked Job No., related container/trip/invoice, uploaded by, uploaded timestamp, version and access classification.</w:t>
        <w:br/>
        <w:t>- Provide mock upload, preview, download/open and classify interactions. If no file backend exists, use local state and clear demo labels; do not pretend files were persisted to a server.</w:t>
        <w:br/>
        <w:t>- Display expected-document checklists based on service/job type and flag missing required documents.</w:t>
        <w:br/>
        <w:t>- Preserve mock version/audit history for important files.</w:t>
        <w:br/>
        <w:t>- Clearly distinguish internal-only files from files approved for customer sharing.</w:t>
        <w:br/>
        <w:t>- Customer portal must show only explicitly shareable/approved documents.</w:t>
        <w:br/>
        <w:t>- A file being uploaded must not automatically mark a customs declaration as approved or a shipment as released.</w:t>
      </w:r>
    </w:p>
    <w:p>
      <w:pPr>
        <w:keepLines/>
        <w:spacing w:after="100"/>
        <w:ind w:left="173" w:right="173"/>
      </w:pPr>
      <w:r>
        <w:rPr>
          <w:rFonts w:ascii="Aptos" w:hAnsi="Aptos"/>
          <w:sz w:val="17"/>
        </w:rPr>
        <w:t>Add linked-document access from Job Detail, Forwarding, Customs, Haulage, Warehouse and Finance. Test missing-document states, unknown search and file type filters. Run checks and report results.</w:t>
      </w:r>
    </w:p>
    <w:p>
      <w:pPr>
        <w:pStyle w:val="Heading1"/>
      </w:pPr>
      <w:r>
        <w:t>PROMPT 10 — Billing, Finance, E-Invoice and Job Costing</w:t>
      </w:r>
    </w:p>
    <w:p>
      <w:pPr>
        <w:spacing w:after="100"/>
      </w:pPr>
      <w:r>
        <w:rPr>
          <w:b/>
        </w:rPr>
        <w:t xml:space="preserve">Goal: </w:t>
      </w:r>
      <w:r>
        <w:t>Connect operational charges and supplier costs to the finance workflow and profitability screens.</w:t>
      </w:r>
    </w:p>
    <w:p>
      <w:pPr>
        <w:keepLines/>
        <w:spacing w:after="100"/>
        <w:ind w:left="173" w:right="173"/>
      </w:pPr>
      <w:r>
        <w:rPr>
          <w:rFonts w:ascii="Aptos" w:hAnsi="Aptos"/>
          <w:sz w:val="17"/>
        </w:rPr>
        <w:t>Implement Billing &amp; Finance and Job Costing screens around the shared Job No. records.</w:t>
      </w:r>
    </w:p>
    <w:p>
      <w:pPr>
        <w:keepLines/>
        <w:spacing w:after="100"/>
        <w:ind w:left="173" w:right="173"/>
      </w:pPr>
      <w:r>
        <w:rPr>
          <w:rFonts w:ascii="Aptos" w:hAnsi="Aptos"/>
          <w:sz w:val="17"/>
        </w:rPr>
        <w:t>Billing and receivables:</w:t>
        <w:br/>
        <w:t>- Show charge suggestions created from forwarding, customs, haulage, warehouse/storage and handling events.</w:t>
        <w:br/>
        <w:t>- Each line must show source event/rate, Job No., department, quantity/unit, amount, draft/review/approval/posting status and evidence.</w:t>
        <w:br/>
        <w:t>- Highlight performed-but-unbilled services and missing billing items.</w:t>
        <w:br/>
        <w:t>- Allow mock review, adjustment with reason and approval. Do not silently treat draft suggestions as approved invoices.</w:t>
        <w:br/>
        <w:t>- Customer invoices should be generated from job charges, reviewed/approved by Finance, then show a simulated e-invoice submission state and email status.</w:t>
      </w:r>
    </w:p>
    <w:p>
      <w:pPr>
        <w:keepLines/>
        <w:spacing w:after="100"/>
        <w:ind w:left="173" w:right="173"/>
      </w:pPr>
      <w:r>
        <w:rPr>
          <w:rFonts w:ascii="Aptos" w:hAnsi="Aptos"/>
          <w:sz w:val="17"/>
        </w:rPr>
        <w:t>Costs and payables:</w:t>
        <w:br/>
        <w:t>- Supplier invoices/costs linked to Job No., service, container or trip.</w:t>
        <w:br/>
        <w:t>- Reimbursement/payment requests, supplier payment vouchers and manual vouchers for other expenses.</w:t>
        <w:br/>
        <w:t>- Track supplier payable and customer receivable status.</w:t>
        <w:br/>
        <w:t>- Keep actual and estimated costs distinct.</w:t>
        <w:br/>
        <w:t>- Do not silently delete posted financial records; use a mock cancellation/reversal flow with reason where needed.</w:t>
      </w:r>
    </w:p>
    <w:p>
      <w:pPr>
        <w:keepLines/>
        <w:spacing w:after="100"/>
        <w:ind w:left="173" w:right="173"/>
      </w:pPr>
      <w:r>
        <w:rPr>
          <w:rFonts w:ascii="Aptos" w:hAnsi="Aptos"/>
          <w:sz w:val="17"/>
        </w:rPr>
        <w:t>E-invoice:</w:t>
        <w:br/>
        <w:t>- Show statuses such as Draft, Pending Approval, Ready to Submit, Submitted (Demo), Rejected (Demo) and Error (Demo), with reference/error placeholders where appropriate.</w:t>
        <w:br/>
        <w:t>- Do not claim LHDN MyInvois or middleware is connected unless an existing integration is verified.</w:t>
      </w:r>
    </w:p>
    <w:p>
      <w:pPr>
        <w:keepLines/>
        <w:spacing w:after="100"/>
        <w:ind w:left="173" w:right="173"/>
      </w:pPr>
      <w:r>
        <w:rPr>
          <w:rFonts w:ascii="Aptos" w:hAnsi="Aptos"/>
          <w:sz w:val="17"/>
        </w:rPr>
        <w:t>Job Costing:</w:t>
        <w:br/>
        <w:t>- Show revenue, direct cost, gross profit and margin by Job No., customer, shipment and department.</w:t>
        <w:br/>
        <w:t>- Drill down to source charge/cost, applied rate, approval and posting state.</w:t>
        <w:br/>
        <w:t>- Include the illustrative haulage calculation RM1,200 - RM700 - RM80 - RM50 = RM370.</w:t>
        <w:br/>
        <w:t>- Provide date/customer/job/department/status filters and export button with mock download/feedback if the project has no export backend.</w:t>
      </w:r>
    </w:p>
    <w:p>
      <w:pPr>
        <w:keepLines/>
        <w:spacing w:after="100"/>
        <w:ind w:left="173" w:right="173"/>
      </w:pPr>
      <w:r>
        <w:rPr>
          <w:rFonts w:ascii="Aptos" w:hAnsi="Aptos"/>
          <w:sz w:val="17"/>
        </w:rPr>
        <w:t>Accounting:</w:t>
        <w:br/>
        <w:t>- Include bank reconciliation status and report entry points for monthly Profit &amp; Loss and Balance Sheet. Avoid inventing detailed accounting posting policy or chart-of-accounts rules not present in the documents; mark those as pending confirmation.</w:t>
      </w:r>
    </w:p>
    <w:p>
      <w:pPr>
        <w:keepLines/>
        <w:spacing w:after="100"/>
        <w:ind w:left="173" w:right="173"/>
      </w:pPr>
      <w:r>
        <w:rPr>
          <w:rFonts w:ascii="Aptos" w:hAnsi="Aptos"/>
          <w:sz w:val="17"/>
        </w:rPr>
        <w:t>Run calculation tests for totals, gross profit, margin, draft versus approved charges and linked invoices. Run build/type-check/lint and report results.</w:t>
      </w:r>
    </w:p>
    <w:p>
      <w:pPr>
        <w:pStyle w:val="Heading1"/>
      </w:pPr>
      <w:r>
        <w:t>PROMPT 11 — Alerts, Customer Portal and Role-Aware UI</w:t>
      </w:r>
    </w:p>
    <w:p>
      <w:pPr>
        <w:spacing w:after="100"/>
      </w:pPr>
      <w:r>
        <w:rPr>
          <w:b/>
        </w:rPr>
        <w:t xml:space="preserve">Goal: </w:t>
      </w:r>
      <w:r>
        <w:t>Finish exception handling and customer-facing visibility while respecting access boundaries.</w:t>
      </w:r>
    </w:p>
    <w:p>
      <w:pPr>
        <w:keepLines/>
        <w:spacing w:after="100"/>
        <w:ind w:left="173" w:right="173"/>
      </w:pPr>
      <w:r>
        <w:rPr>
          <w:rFonts w:ascii="Aptos" w:hAnsi="Aptos"/>
          <w:sz w:val="17"/>
        </w:rPr>
        <w:t>Implement the Alerts &amp; Reminders centre and a Customer Portal mockup using the shared records.</w:t>
      </w:r>
    </w:p>
    <w:p>
      <w:pPr>
        <w:keepLines/>
        <w:spacing w:after="100"/>
        <w:ind w:left="173" w:right="173"/>
      </w:pPr>
      <w:r>
        <w:rPr>
          <w:rFonts w:ascii="Aptos" w:hAnsi="Aptos"/>
          <w:sz w:val="17"/>
        </w:rPr>
        <w:t>Alerts:</w:t>
        <w:br/>
        <w:t>- Types: free-time expiry, EDO not released, overdue customer payment, long-stay cargo, missing required documents, road tax/insurance due and overdue milestones.</w:t>
        <w:br/>
        <w:t>- Each alert shows severity, linked Job No./container/trip/invoice, owner, due date, age, acknowledgement, status, escalation and resolution/next action.</w:t>
        <w:br/>
        <w:t>- Filters: alert type, severity, owner, due date and status.</w:t>
        <w:br/>
        <w:t>- Acknowledge, assign, add note and resolve interactions should update local mock state.</w:t>
        <w:br/>
        <w:t>- Clicking an alert opens the related record and its context.</w:t>
      </w:r>
    </w:p>
    <w:p>
      <w:pPr>
        <w:keepLines/>
        <w:spacing w:after="100"/>
        <w:ind w:left="173" w:right="173"/>
      </w:pPr>
      <w:r>
        <w:rPr>
          <w:rFonts w:ascii="Aptos" w:hAnsi="Aptos"/>
          <w:sz w:val="17"/>
        </w:rPr>
        <w:t>Customer Portal:</w:t>
        <w:br/>
        <w:t>- Create a distinct customer-facing navigation/layout.</w:t>
        <w:br/>
        <w:t>- Show only the selected demo customer's own jobs/shipments, Job/Shipment No., container No., status, ETA, approved documents and customer-facing charges grouped by forwarding, haulage, storage and handling.</w:t>
        <w:br/>
        <w:t>- Label charges as estimate/draft/invoiced/paid/overdue according to the demo data.</w:t>
        <w:br/>
        <w:t>- Show last-updated time and a contact route placeholder for discrepancies.</w:t>
        <w:br/>
        <w:t>- Do not show supplier costs, internal notes, internal audit details or profit margins by default.</w:t>
        <w:br/>
        <w:t>- Clearly label the portal as demo mode and do not imply real authentication/security is implemented by frontend-only role switching.</w:t>
      </w:r>
    </w:p>
    <w:p>
      <w:pPr>
        <w:keepLines/>
        <w:spacing w:after="100"/>
        <w:ind w:left="173" w:right="173"/>
      </w:pPr>
      <w:r>
        <w:rPr>
          <w:rFonts w:ascii="Aptos" w:hAnsi="Aptos"/>
          <w:sz w:val="17"/>
        </w:rPr>
        <w:t>Role-aware UI:</w:t>
        <w:br/>
        <w:t>- If the app already has auth/roles, follow its existing model.</w:t>
        <w:br/>
        <w:t>- Otherwise use a clearly labelled demo role selector for Management, Customer Service, Forwarding, Customs, Haulage, Warehouse, Finance, Finance Approver, Customer Portal and Read-only/Auditor.</w:t>
        <w:br/>
        <w:t>- Use the role selector only to demonstrate UI visibility; do not claim it enforces server-side security.</w:t>
      </w:r>
    </w:p>
    <w:p>
      <w:pPr>
        <w:keepLines/>
        <w:spacing w:after="100"/>
        <w:ind w:left="173" w:right="173"/>
      </w:pPr>
      <w:r>
        <w:rPr>
          <w:rFonts w:ascii="Aptos" w:hAnsi="Aptos"/>
          <w:sz w:val="17"/>
        </w:rPr>
        <w:t>Test customer scoping, role-specific screen states, alert actions and navigation. Run checks and report results.</w:t>
      </w:r>
    </w:p>
    <w:p>
      <w:pPr>
        <w:pStyle w:val="Heading1"/>
      </w:pPr>
      <w:r>
        <w:t>PROMPT 12 — Final UI Polish, Responsive QA and Completion Report</w:t>
      </w:r>
    </w:p>
    <w:p>
      <w:pPr>
        <w:spacing w:after="100"/>
      </w:pPr>
      <w:r>
        <w:rPr>
          <w:b/>
        </w:rPr>
        <w:t xml:space="preserve">Goal: </w:t>
      </w:r>
      <w:r>
        <w:t>Validate the full mockup end-to-end before considering the frontend ready.</w:t>
      </w:r>
    </w:p>
    <w:p>
      <w:pPr>
        <w:keepLines/>
        <w:spacing w:after="100"/>
        <w:ind w:left="173" w:right="173"/>
      </w:pPr>
      <w:r>
        <w:rPr>
          <w:rFonts w:ascii="Aptos" w:hAnsi="Aptos"/>
          <w:sz w:val="17"/>
        </w:rPr>
        <w:t>Perform a full quality pass on the SK Transworld Logistics frontend mockup. Do not add new major features unless required to fix a gap in the agreed prompts.</w:t>
      </w:r>
    </w:p>
    <w:p>
      <w:pPr>
        <w:keepLines/>
        <w:spacing w:after="100"/>
        <w:ind w:left="173" w:right="173"/>
      </w:pPr>
      <w:r>
        <w:rPr>
          <w:rFonts w:ascii="Aptos" w:hAnsi="Aptos"/>
          <w:sz w:val="17"/>
        </w:rPr>
        <w:t>Visual QA:</w:t>
        <w:br/>
        <w:t>- Compare the dashboard and fleet screen with the supplied RoutaX references: light blue-gray canvas, white rounded cards, blue and amber accents, compact KPI header, large truck/cargo visualization, selectable truck list and clear lower analytics cards.</w:t>
        <w:br/>
        <w:t>- Ensure the truck illustration is visibly recognisable as a tractor-trailer with a cargo bay/slots; it should be a focal point on the Haulage screen, not a tiny decorative icon.</w:t>
        <w:br/>
        <w:t>- Check typography, spacing, card alignment, data density, icon consistency, table readability and status badges.</w:t>
        <w:br/>
        <w:t>- Check desktop, tablet and mobile widths; fix horizontal overflow and clipped content.</w:t>
        <w:br/>
        <w:t>- Ensure buttons, inputs, tabs, filters, dialogs, search, sort and row navigation have working mock interactions and accessible focus states.</w:t>
      </w:r>
    </w:p>
    <w:p>
      <w:pPr>
        <w:keepLines/>
        <w:spacing w:after="100"/>
        <w:ind w:left="173" w:right="173"/>
      </w:pPr>
      <w:r>
        <w:rPr>
          <w:rFonts w:ascii="Aptos" w:hAnsi="Aptos"/>
          <w:sz w:val="17"/>
        </w:rPr>
        <w:t>Functional QA:</w:t>
        <w:br/>
        <w:t>- Verify shared Job No. relationships across Jobs, Forwarding, Customs, Haulage, Warehouse, Documents, Charges/Costs, Invoices and Job Costing.</w:t>
        <w:br/>
        <w:t>- Verify dashboard KPIs reconcile to filtered mock records.</w:t>
        <w:br/>
        <w:t>- Verify operational status is separate from financial status.</w:t>
        <w:br/>
        <w:t>- Verify performed-but-unbilled charges are surfaced and job closure blockers behave as expected.</w:t>
        <w:br/>
        <w:t>- Verify customer portal does not expose internal supplier costs or margins.</w:t>
        <w:br/>
        <w:t>- Verify missing documents, incomplete customs chains, unknown searches, empty states and alert resolution.</w:t>
        <w:br/>
        <w:t>- Verify all external services are labelled demo/unconfigured unless truly connected.</w:t>
      </w:r>
    </w:p>
    <w:p>
      <w:pPr>
        <w:keepLines/>
        <w:spacing w:after="100"/>
        <w:ind w:left="173" w:right="173"/>
      </w:pPr>
      <w:r>
        <w:rPr>
          <w:rFonts w:ascii="Aptos" w:hAnsi="Aptos"/>
          <w:sz w:val="17"/>
        </w:rPr>
        <w:t>Engineering QA:</w:t>
        <w:br/>
        <w:t>- Run the repository's lint, type-check, unit tests and production build where available.</w:t>
        <w:br/>
        <w:t>- Fix issues introduced by the implementation.</w:t>
        <w:br/>
        <w:t>- Do not report a command as passed unless it actually ran successfully.</w:t>
        <w:br/>
        <w:t>- Summarise changed files, screens implemented, interactions tested, commands and results, known limitations and Pending Business Clarification items.</w:t>
        <w:br/>
        <w:t>- Do not claim the mockup is production-ready for real financial posting or statutory e-invoicing; it is a frontend prototype unless backed by verified services.</w:t>
      </w:r>
    </w:p>
    <w:p>
      <w:pPr>
        <w:keepLines/>
        <w:spacing w:after="100"/>
        <w:ind w:left="173" w:right="173"/>
      </w:pPr>
      <w:r>
        <w:rPr>
          <w:rFonts w:ascii="Aptos" w:hAnsi="Aptos"/>
          <w:sz w:val="17"/>
        </w:rPr>
        <w:t>Stop after the report. Do not proceed to backend integrations without a separate instruction.</w:t>
      </w:r>
    </w:p>
    <w:p>
      <w:pPr>
        <w:pStyle w:val="Heading1"/>
      </w:pPr>
      <w:r>
        <w:t>Reusable instruction to append to every prompt</w:t>
      </w:r>
    </w:p>
    <w:p>
      <w:r>
        <w:t>Implement only the scope of this step. Inspect existing code before editing. Reuse shared mock records and existing project conventions. Do not hard-code values that should be derived, do not break completed screens, do not invent business policy where the BRD says Pending Business Clarification, and do not claim an external integration is live. Run relevant checks, fix errors introduced by this step, and report files changed and test results. Wait for my review before moving to the next prompt.</w:t>
      </w:r>
    </w:p>
    <w:p>
      <w:pPr>
        <w:pStyle w:val="Heading1"/>
      </w:pPr>
      <w:r>
        <w:t>Reference terminology and source notes</w:t>
      </w:r>
    </w:p>
    <w:p>
      <w:r>
        <w:t>Primary source for terms: “SK Transworld Logistics — Combined Logistics &amp; Accounting System BRD.docx”. Companion source: “SK_Transworld_Logistics_Requirements_Document (1).pdf”. Both are draft documents for client validation. The truck/cargo layout is a UI direction from the user's supplied RoutaX reference image; it is not a requirement to use RoutaX branding or assume GPS telemetry exists.</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80"/>
        <w:sz w:val="16"/>
      </w:rPr>
      <w:t>SK Transworld Logistics | Step-by-Step FE Prompts | Draft for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0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4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64A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0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