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560"/>
        <w:jc w:val="center"/>
      </w:pPr>
      <w:r>
        <w:drawing>
          <wp:inline xmlns:a="http://schemas.openxmlformats.org/drawingml/2006/main" xmlns:pic="http://schemas.openxmlformats.org/drawingml/2006/picture">
            <wp:extent cx="5166360" cy="1582170"/>
            <wp:docPr id="1" name="Picture 1" descr="Hand-drawn Health Dossier wordmark concept with a winged medical staff symbol."/>
            <wp:cNvGraphicFramePr>
              <a:graphicFrameLocks noChangeAspect="1"/>
            </wp:cNvGraphicFramePr>
            <a:graphic>
              <a:graphicData uri="http://schemas.openxmlformats.org/drawingml/2006/picture">
                <pic:pic>
                  <pic:nvPicPr>
                    <pic:cNvPr id="0" name="codex-clipboard-9921ef42-d1dc-40dc-8571-9e9e48440821.jpg"/>
                    <pic:cNvPicPr/>
                  </pic:nvPicPr>
                  <pic:blipFill>
                    <a:blip r:embed="rId11"/>
                    <a:stretch>
                      <a:fillRect/>
                    </a:stretch>
                  </pic:blipFill>
                  <pic:spPr>
                    <a:xfrm>
                      <a:off x="0" y="0"/>
                      <a:ext cx="5166360" cy="1582170"/>
                    </a:xfrm>
                    <a:prstGeom prst="rect"/>
                  </pic:spPr>
                </pic:pic>
              </a:graphicData>
            </a:graphic>
          </wp:inline>
        </w:drawing>
      </w:r>
    </w:p>
    <w:p>
      <w:pPr>
        <w:pStyle w:val="Title"/>
        <w:spacing w:after="200"/>
        <w:jc w:val="center"/>
      </w:pPr>
      <w:r>
        <w:rPr>
          <w:rFonts w:ascii="Arial" w:hAnsi="Arial"/>
          <w:b/>
          <w:color w:val="000000"/>
          <w:sz w:val="58"/>
        </w:rPr>
        <w:t>Health Dossier Version 0.1.1 Demo</w:t>
      </w:r>
    </w:p>
    <w:p>
      <w:pPr>
        <w:spacing w:after="160"/>
        <w:jc w:val="center"/>
      </w:pPr>
      <w:r>
        <w:rPr>
          <w:rFonts w:ascii="Arial" w:hAnsi="Arial"/>
          <w:b/>
          <w:color w:val="000000"/>
          <w:sz w:val="34"/>
        </w:rPr>
        <w:t>Product Documentation</w:t>
      </w:r>
    </w:p>
    <w:p>
      <w:pPr>
        <w:spacing w:after="500"/>
        <w:jc w:val="center"/>
      </w:pPr>
      <w:r>
        <w:rPr>
          <w:rFonts w:ascii="Arial" w:hAnsi="Arial"/>
          <w:i/>
          <w:color w:val="27332D"/>
          <w:sz w:val="26"/>
        </w:rPr>
        <w:t>One Health Record. Better Connected Care.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37A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Document</w:t>
            </w:r>
          </w:p>
        </w:tc>
        <w:tc>
          <w:tcPr>
            <w:tcW w:type="dxa" w:w="6768"/>
            <w:shd w:fill="237A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Value</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Release</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Version 0.1.1 Demo</w:t>
            </w:r>
          </w:p>
        </w:tc>
      </w:tr>
      <w:tr>
        <w:trPr>
          <w:cantSplit/>
        </w:trPr>
        <w:tc>
          <w:tcPr>
            <w:tcW w:type="dxa" w:w="28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Market</w:t>
            </w:r>
          </w:p>
        </w:tc>
        <w:tc>
          <w:tcPr>
            <w:tcW w:type="dxa" w:w="676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Hyderabad India</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Status</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Approved for local demo development</w:t>
            </w:r>
          </w:p>
        </w:tc>
      </w:tr>
      <w:tr>
        <w:trPr>
          <w:cantSplit/>
        </w:trPr>
        <w:tc>
          <w:tcPr>
            <w:tcW w:type="dxa" w:w="28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Date</w:t>
            </w:r>
          </w:p>
        </w:tc>
        <w:tc>
          <w:tcPr>
            <w:tcW w:type="dxa" w:w="676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28 September 2026</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Data restriction</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Fictional sample data only</w:t>
            </w:r>
          </w:p>
        </w:tc>
      </w:tr>
    </w:tbl>
    <w:p>
      <w:pPr>
        <w:spacing w:after="60"/>
      </w:pPr>
    </w:p>
    <w:p>
      <w:pPr>
        <w:spacing w:before="240"/>
        <w:jc w:val="center"/>
      </w:pPr>
      <w:r>
        <w:rPr>
          <w:rFonts w:ascii="Arial" w:hAnsi="Arial"/>
          <w:color w:val="5C6670"/>
          <w:sz w:val="19"/>
        </w:rPr>
        <w:t>This document is the living product record for the demo release. The separate Markdown build specification contains implementation instructions for Codex.</w:t>
      </w:r>
    </w:p>
    <w:p>
      <w:pPr>
        <w:pStyle w:val="Heading1"/>
        <w:keepNext/>
      </w:pPr>
      <w:r>
        <w:t>Document Purpose</w:t>
      </w:r>
    </w:p>
    <w:p>
      <w:pPr>
        <w:spacing w:after="140" w:line="269" w:lineRule="auto"/>
      </w:pPr>
      <w:r>
        <w:rPr>
          <w:rFonts w:ascii="Arial" w:hAnsi="Arial"/>
          <w:i w:val="0"/>
        </w:rPr>
        <w:t>This document records the approved product direction, experience, scope, and release criteria for Health Dossier Version 0.1.1. It is intended for the founder, designers, developers, and future collaborators who need to understand what the demo should prove and how later versions should evolve.</w:t>
      </w:r>
    </w:p>
    <w:p>
      <w:pPr>
        <w:spacing w:after="140" w:line="269" w:lineRule="auto"/>
      </w:pPr>
      <w:r>
        <w:rPr>
          <w:rFonts w:ascii="Arial" w:hAnsi="Arial"/>
          <w:i w:val="0"/>
        </w:rPr>
        <w:t>Version 0.1.1 is a local demonstration, not a clinical product. It uses fictional information and simulated services. Its purpose is to make the core concept tangible: a patient can organize a lifelong medical history and share the right records with an authorized doctor.</w:t>
      </w:r>
    </w:p>
    <w:p>
      <w:pPr>
        <w:pStyle w:val="Heading2"/>
        <w:keepNext/>
      </w:pPr>
      <w:r>
        <w:t>Decision Summary</w:t>
      </w:r>
    </w:p>
    <w:p>
      <w:pPr>
        <w:pStyle w:val="ListBullet"/>
        <w:spacing w:after="60" w:line="259" w:lineRule="auto"/>
      </w:pPr>
      <w:r>
        <w:rPr>
          <w:rFonts w:ascii="Arial" w:hAnsi="Arial"/>
        </w:rPr>
        <w:t>The first release will combine a public-facing landing page with a local role-based product demo.</w:t>
      </w:r>
    </w:p>
    <w:p>
      <w:pPr>
        <w:pStyle w:val="ListBullet"/>
        <w:spacing w:after="60" w:line="259" w:lineRule="auto"/>
      </w:pPr>
      <w:r>
        <w:rPr>
          <w:rFonts w:ascii="Arial" w:hAnsi="Arial"/>
        </w:rPr>
        <w:t>Medical report organization and controlled sharing are the only complete feature area in this release.</w:t>
      </w:r>
    </w:p>
    <w:p>
      <w:pPr>
        <w:pStyle w:val="ListBullet"/>
        <w:spacing w:after="60" w:line="259" w:lineRule="auto"/>
      </w:pPr>
      <w:r>
        <w:rPr>
          <w:rFonts w:ascii="Arial" w:hAnsi="Arial"/>
        </w:rPr>
        <w:t>The web experience will be responsive before native mobile applications are considered.</w:t>
      </w:r>
    </w:p>
    <w:p>
      <w:pPr>
        <w:pStyle w:val="ListBullet"/>
      </w:pPr>
      <w:r>
        <w:t>The approved web stack is Next.js App Router, TypeScript, React, Tailwind CSS, shadcn/ui, and Lucide.</w:t>
      </w:r>
    </w:p>
    <w:p>
      <w:pPr>
        <w:pStyle w:val="ListBullet"/>
        <w:spacing w:after="60" w:line="259" w:lineRule="auto"/>
      </w:pPr>
      <w:r>
        <w:rPr>
          <w:rFonts w:ascii="Arial" w:hAnsi="Arial"/>
        </w:rPr>
        <w:t>English is the launch language. Telugu and Hindi are planned for later versions.</w:t>
      </w:r>
    </w:p>
    <w:p>
      <w:pPr>
        <w:pStyle w:val="ListBullet"/>
      </w:pPr>
      <w:r>
        <w:t>Light and dark appearance modes are available across the public site and local demo; the choice is saved in the browser.</w:t>
      </w:r>
    </w:p>
    <w:p>
      <w:pPr>
        <w:pStyle w:val="ListBullet"/>
        <w:spacing w:after="60" w:line="259" w:lineRule="auto"/>
      </w:pPr>
      <w:r>
        <w:rPr>
          <w:rFonts w:ascii="Arial" w:hAnsi="Arial"/>
        </w:rPr>
        <w:t>Authentication, doctor verification, AI extraction, QR sharing, and clinical contributions will be simulated.</w:t>
      </w:r>
    </w:p>
    <w:p>
      <w:pPr>
        <w:pStyle w:val="ListBullet"/>
        <w:spacing w:after="60" w:line="259" w:lineRule="auto"/>
      </w:pPr>
      <w:r>
        <w:rPr>
          <w:rFonts w:ascii="Arial" w:hAnsi="Arial"/>
        </w:rPr>
        <w:t>No real patient information may be used in Version 0.1.1.</w:t>
      </w:r>
    </w:p>
    <w:p>
      <w:pPr>
        <w:pStyle w:val="Heading2"/>
        <w:keepNext/>
      </w:pPr>
      <w:r>
        <w:t>Contents</w:t>
      </w:r>
    </w:p>
    <w:p>
      <w:pPr>
        <w:spacing w:after="140" w:line="269" w:lineRule="auto"/>
      </w:pPr>
      <w:r>
        <w:t>Product Direction; Version 0.1.1 Scope; Technology Stack; Users and Access; Experience and Information Architecture; Medical Records; Sharing and Consent; Doctor Verification and Clinical Contribution; Brand and Interface Direction; Demo Data and Safety Boundaries; Acceptance Criteria; Roadmap and Release Management.</w:t>
      </w:r>
    </w:p>
    <w:p>
      <w:pPr>
        <w:pStyle w:val="Heading2"/>
        <w:keepNext/>
      </w:pPr>
      <w:r>
        <w:t>Document Control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Field</w:t>
            </w:r>
          </w:p>
        </w:tc>
        <w:tc>
          <w:tcPr>
            <w:tcW w:type="dxa" w:w="3096"/>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Current value</w:t>
            </w:r>
          </w:p>
        </w:tc>
        <w:tc>
          <w:tcPr>
            <w:tcW w:type="dxa" w:w="4608"/>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Update rule</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Product version</w:t>
            </w:r>
          </w:p>
        </w:tc>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0.1.1</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Change when release scope changes</w:t>
            </w:r>
          </w:p>
        </w:tc>
      </w:tr>
      <w:tr>
        <w:trPr>
          <w:cantSplit/>
        </w:trPr>
        <w:tc>
          <w:tcPr>
            <w:tcW w:type="dxa" w:w="194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Document owner</w:t>
            </w:r>
          </w:p>
        </w:tc>
        <w:tc>
          <w:tcPr>
            <w:tcW w:type="dxa" w:w="309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Health Dossier founder</w:t>
            </w:r>
          </w:p>
        </w:tc>
        <w:tc>
          <w:tcPr>
            <w:tcW w:type="dxa" w:w="460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Confirm as the team grows</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Build reference</w:t>
            </w:r>
          </w:p>
        </w:tc>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HEALTH_DOSSIER_</w:t>
              <w:br/>
              <w:t>BUILD_SPEC.md</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Keep aligned with this document</w:t>
            </w:r>
          </w:p>
        </w:tc>
      </w:tr>
      <w:tr>
        <w:trPr>
          <w:cantSplit/>
        </w:trPr>
        <w:tc>
          <w:tcPr>
            <w:tcW w:type="dxa" w:w="194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Review cadence</w:t>
            </w:r>
          </w:p>
        </w:tc>
        <w:tc>
          <w:tcPr>
            <w:tcW w:type="dxa" w:w="309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At each planned version</w:t>
            </w:r>
          </w:p>
        </w:tc>
        <w:tc>
          <w:tcPr>
            <w:tcW w:type="dxa" w:w="460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Record changes in the changelog</w:t>
            </w:r>
          </w:p>
        </w:tc>
      </w:tr>
    </w:tbl>
    <w:p>
      <w:pPr>
        <w:spacing w:after="60"/>
      </w:pPr>
    </w:p>
    <w:p>
      <w:pPr>
        <w:pStyle w:val="Heading1"/>
        <w:keepNext/>
      </w:pPr>
      <w:r>
        <w:t>Product Direction</w:t>
      </w:r>
    </w:p>
    <w:p>
      <w:pPr>
        <w:pStyle w:val="Heading2"/>
        <w:keepNext/>
      </w:pPr>
      <w:r>
        <w:t>Product Vision</w:t>
      </w:r>
    </w:p>
    <w:p>
      <w:pPr>
        <w:spacing w:after="140" w:line="269" w:lineRule="auto"/>
      </w:pPr>
      <w:r>
        <w:rPr>
          <w:rFonts w:ascii="Arial" w:hAnsi="Arial"/>
          <w:i w:val="0"/>
        </w:rPr>
        <w:t>Health Dossier will help patients carry their medical history digitally across doctors, clinics, and hospitals. The patient remains at the center of the relationship and decides which information another person can see or contribute.</w:t>
      </w:r>
    </w:p>
    <w:p>
      <w:pPr>
        <w:pStyle w:val="Heading2"/>
        <w:keepNext/>
      </w:pPr>
      <w:r>
        <w:t>Problem</w:t>
      </w:r>
    </w:p>
    <w:p>
      <w:pPr>
        <w:spacing w:after="140" w:line="269" w:lineRule="auto"/>
      </w:pPr>
      <w:r>
        <w:rPr>
          <w:rFonts w:ascii="Arial" w:hAnsi="Arial"/>
          <w:i w:val="0"/>
        </w:rPr>
        <w:t>Patients often visit a new doctor without a complete set of earlier prescriptions, reports, discharge summaries, and scans. Paper records may be misplaced, difficult to search, or distributed across several hospitals. A doctor then has less context, while the patient must repeatedly explain the same history.</w:t>
      </w:r>
    </w:p>
    <w:p>
      <w:pPr>
        <w:pStyle w:val="Heading2"/>
        <w:keepNext/>
      </w:pPr>
      <w:r>
        <w:t>Version 0.1.1 Product Promise</w:t>
      </w:r>
    </w:p>
    <w:p>
      <w:pPr>
        <w:spacing w:after="140" w:line="269" w:lineRule="auto"/>
      </w:pPr>
      <w:r>
        <w:rPr>
          <w:rFonts w:ascii="Arial" w:hAnsi="Arial"/>
          <w:i w:val="0"/>
        </w:rPr>
        <w:t>The demo will show one organized health record that follows a patient from birth to the present. Reports can be found by age, date, provider, specialty, condition, and type, then shared under permissions chosen by the patient.</w:t>
      </w:r>
    </w:p>
    <w:p>
      <w:pPr>
        <w:pStyle w:val="Heading2"/>
        <w:keepNext/>
      </w:pPr>
      <w:r>
        <w:t>Primary Objectives</w:t>
      </w:r>
    </w:p>
    <w:p>
      <w:pPr>
        <w:spacing w:after="80"/>
        <w:ind w:left="346" w:hanging="346"/>
      </w:pPr>
      <w:r>
        <w:rPr>
          <w:rFonts w:ascii="Arial" w:hAnsi="Arial"/>
        </w:rPr>
        <w:t>1.  Demonstrate a clear lifelong medical timeline.</w:t>
      </w:r>
    </w:p>
    <w:p>
      <w:pPr>
        <w:spacing w:after="80"/>
        <w:ind w:left="346" w:hanging="346"/>
      </w:pPr>
      <w:r>
        <w:rPr>
          <w:rFonts w:ascii="Arial" w:hAnsi="Arial"/>
        </w:rPr>
        <w:t>2.  Make reports easy to upload, review, find, and understand.</w:t>
      </w:r>
    </w:p>
    <w:p>
      <w:pPr>
        <w:spacing w:after="80"/>
        <w:ind w:left="346" w:hanging="346"/>
      </w:pPr>
      <w:r>
        <w:rPr>
          <w:rFonts w:ascii="Arial" w:hAnsi="Arial"/>
        </w:rPr>
        <w:t>3.  Show patient-controlled sharing with visible permissions and expiry.</w:t>
      </w:r>
    </w:p>
    <w:p>
      <w:pPr>
        <w:spacing w:after="80"/>
        <w:ind w:left="346" w:hanging="346"/>
      </w:pPr>
      <w:r>
        <w:rPr>
          <w:rFonts w:ascii="Arial" w:hAnsi="Arial"/>
        </w:rPr>
        <w:t>4.  Give doctors a concise view of authorized information.</w:t>
      </w:r>
    </w:p>
    <w:p>
      <w:pPr>
        <w:spacing w:after="80"/>
        <w:ind w:left="346" w:hanging="346"/>
      </w:pPr>
      <w:r>
        <w:rPr>
          <w:rFonts w:ascii="Arial" w:hAnsi="Arial"/>
        </w:rPr>
        <w:t>5.  Create a visual and structural foundation that can expand one version at a time.</w:t>
      </w:r>
    </w:p>
    <w:p>
      <w:pPr>
        <w:pStyle w:val="Heading2"/>
        <w:keepNext/>
      </w:pPr>
      <w:r>
        <w:t>Product Principles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Principle</w:t>
            </w:r>
          </w:p>
        </w:tc>
        <w:tc>
          <w:tcPr>
            <w:tcW w:type="dxa" w:w="727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Meaning in the demo</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Patient control</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patient chooses the records, recipient, permission, and access period.</w:t>
            </w:r>
          </w:p>
        </w:tc>
      </w:tr>
      <w:tr>
        <w:trPr>
          <w:cantSplit/>
        </w:trPr>
        <w:tc>
          <w:tcPr>
            <w:tcW w:type="dxa" w:w="237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Originals remain intact</w:t>
            </w:r>
          </w:p>
        </w:tc>
        <w:tc>
          <w:tcPr>
            <w:tcW w:type="dxa" w:w="727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Metadata may be corrected without changing the uploaded document.</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Clear provenance</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Every report identifies its source and every access event identifies an actor.</w:t>
            </w:r>
          </w:p>
        </w:tc>
      </w:tr>
      <w:tr>
        <w:trPr>
          <w:cantSplit/>
        </w:trPr>
        <w:tc>
          <w:tcPr>
            <w:tcW w:type="dxa" w:w="237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Progressive delivery</w:t>
            </w:r>
          </w:p>
        </w:tc>
        <w:tc>
          <w:tcPr>
            <w:tcW w:type="dxa" w:w="727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Only the medical-record workflow is complete in Version 0.1.1.</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Honest simulation</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Unbuilt integrations are labeled as simulations or future work.</w:t>
            </w:r>
          </w:p>
        </w:tc>
      </w:tr>
    </w:tbl>
    <w:p>
      <w:pPr>
        <w:spacing w:after="60"/>
      </w:pPr>
    </w:p>
    <w:p>
      <w:pPr>
        <w:pStyle w:val="Heading1"/>
        <w:keepNext/>
      </w:pPr>
      <w:r>
        <w:t>Version 0.1.1 Scope</w:t>
      </w:r>
    </w:p>
    <w:p>
      <w:pPr>
        <w:pStyle w:val="Heading2"/>
        <w:keepNext/>
      </w:pPr>
      <w:r>
        <w:t>Included</w:t>
      </w:r>
    </w:p>
    <w:p>
      <w:pPr>
        <w:pStyle w:val="ListBullet"/>
        <w:spacing w:after="60" w:line="259" w:lineRule="auto"/>
      </w:pPr>
      <w:r>
        <w:rPr>
          <w:rFonts w:ascii="Arial" w:hAnsi="Arial"/>
        </w:rPr>
        <w:t>Landing page and demo entry</w:t>
      </w:r>
    </w:p>
    <w:p>
      <w:pPr>
        <w:pStyle w:val="ListBullet"/>
        <w:spacing w:after="60" w:line="259" w:lineRule="auto"/>
      </w:pPr>
      <w:r>
        <w:rPr>
          <w:rFonts w:ascii="Arial" w:hAnsi="Arial"/>
        </w:rPr>
        <w:t>Simulated signup, login, role selection, and authentication</w:t>
      </w:r>
    </w:p>
    <w:p>
      <w:pPr>
        <w:pStyle w:val="ListBullet"/>
        <w:spacing w:after="60" w:line="259" w:lineRule="auto"/>
      </w:pPr>
      <w:r>
        <w:rPr>
          <w:rFonts w:ascii="Arial" w:hAnsi="Arial"/>
        </w:rPr>
        <w:t>Patient dashboard with recent reports, appointments, medicines, and alerts</w:t>
      </w:r>
    </w:p>
    <w:p>
      <w:pPr>
        <w:pStyle w:val="ListBullet"/>
        <w:spacing w:after="60" w:line="259" w:lineRule="auto"/>
      </w:pPr>
      <w:r>
        <w:rPr>
          <w:rFonts w:ascii="Arial" w:hAnsi="Arial"/>
        </w:rPr>
        <w:t>Medical timeline from birth to the present</w:t>
      </w:r>
    </w:p>
    <w:p>
      <w:pPr>
        <w:pStyle w:val="ListBullet"/>
        <w:spacing w:after="60" w:line="259" w:lineRule="auto"/>
      </w:pPr>
      <w:r>
        <w:rPr>
          <w:rFonts w:ascii="Arial" w:hAnsi="Arial"/>
        </w:rPr>
        <w:t>Report library with search, sorting, and combined filters</w:t>
      </w:r>
    </w:p>
    <w:p>
      <w:pPr>
        <w:pStyle w:val="ListBullet"/>
        <w:spacing w:after="60" w:line="259" w:lineRule="auto"/>
      </w:pPr>
      <w:r>
        <w:rPr>
          <w:rFonts w:ascii="Arial" w:hAnsi="Arial"/>
        </w:rPr>
        <w:t>Sample upload, simulated extraction, metadata review, and correction</w:t>
      </w:r>
    </w:p>
    <w:p>
      <w:pPr>
        <w:pStyle w:val="ListBullet"/>
        <w:spacing w:after="60" w:line="259" w:lineRule="auto"/>
      </w:pPr>
      <w:r>
        <w:rPr>
          <w:rFonts w:ascii="Arial" w:hAnsi="Arial"/>
        </w:rPr>
        <w:t>Report detail view and original-document preview</w:t>
      </w:r>
    </w:p>
    <w:p>
      <w:pPr>
        <w:pStyle w:val="ListBullet"/>
        <w:spacing w:after="60" w:line="259" w:lineRule="auto"/>
      </w:pPr>
      <w:r>
        <w:rPr>
          <w:rFonts w:ascii="Arial" w:hAnsi="Arial"/>
        </w:rPr>
        <w:t>Sharing by simulated QR code, link, doctor invitation, or clinic request</w:t>
      </w:r>
    </w:p>
    <w:p>
      <w:pPr>
        <w:pStyle w:val="ListBullet"/>
        <w:spacing w:after="60" w:line="259" w:lineRule="auto"/>
      </w:pPr>
      <w:r>
        <w:rPr>
          <w:rFonts w:ascii="Arial" w:hAnsi="Arial"/>
        </w:rPr>
        <w:t>View-only and view-and-contribute permissions</w:t>
      </w:r>
    </w:p>
    <w:p>
      <w:pPr>
        <w:pStyle w:val="ListBullet"/>
        <w:spacing w:after="60" w:line="259" w:lineRule="auto"/>
      </w:pPr>
      <w:r>
        <w:rPr>
          <w:rFonts w:ascii="Arial" w:hAnsi="Arial"/>
        </w:rPr>
        <w:t>Expiry, revocation, sensitive-record controls, and activity history</w:t>
      </w:r>
    </w:p>
    <w:p>
      <w:pPr>
        <w:pStyle w:val="ListBullet"/>
        <w:spacing w:after="60" w:line="259" w:lineRule="auto"/>
      </w:pPr>
      <w:r>
        <w:rPr>
          <w:rFonts w:ascii="Arial" w:hAnsi="Arial"/>
        </w:rPr>
        <w:t>Doctor dashboard and authorized patient view</w:t>
      </w:r>
    </w:p>
    <w:p>
      <w:pPr>
        <w:pStyle w:val="ListBullet"/>
        <w:spacing w:after="60" w:line="259" w:lineRule="auto"/>
      </w:pPr>
      <w:r>
        <w:rPr>
          <w:rFonts w:ascii="Arial" w:hAnsi="Arial"/>
        </w:rPr>
        <w:t>Basic clinic, hospital, and platform-administrator previews</w:t>
      </w:r>
    </w:p>
    <w:p>
      <w:pPr>
        <w:pStyle w:val="ListBullet"/>
        <w:spacing w:after="60" w:line="259" w:lineRule="auto"/>
      </w:pPr>
      <w:r>
        <w:rPr>
          <w:rFonts w:ascii="Arial" w:hAnsi="Arial"/>
        </w:rPr>
        <w:t>Printable or downloadable demo medical summary</w:t>
      </w:r>
    </w:p>
    <w:p>
      <w:pPr>
        <w:pStyle w:val="ListBullet"/>
      </w:pPr>
      <w:r>
        <w:t>Light and dark appearance modes with a persistent browser-local preference</w:t>
      </w:r>
    </w:p>
    <w:p>
      <w:pPr>
        <w:pStyle w:val="Heading2"/>
        <w:keepNext/>
      </w:pPr>
      <w:r>
        <w:t>Represented but not fully implemented</w:t>
      </w:r>
    </w:p>
    <w:p>
      <w:pPr>
        <w:spacing w:after="140" w:line="269" w:lineRule="auto"/>
      </w:pPr>
      <w:r>
        <w:rPr>
          <w:rFonts w:ascii="Arial" w:hAnsi="Arial"/>
          <w:i w:val="0"/>
        </w:rPr>
        <w:t>The dashboard may show fictional appointments, medicines, and health alerts. Administration screens may show representative queues and status cards. These elements help explain the future product but do not expand the Version 0.1.1 implementation commitment.</w:t>
      </w:r>
    </w:p>
    <w:p>
      <w:pPr>
        <w:pStyle w:val="Heading2"/>
        <w:keepNext/>
      </w:pPr>
      <w:r>
        <w:t>Excluded</w:t>
      </w:r>
    </w:p>
    <w:p>
      <w:pPr>
        <w:pStyle w:val="ListBullet"/>
        <w:spacing w:after="60" w:line="259" w:lineRule="auto"/>
      </w:pPr>
      <w:r>
        <w:rPr>
          <w:rFonts w:ascii="Arial" w:hAnsi="Arial"/>
        </w:rPr>
        <w:t>Real identity, phone, social-login, or OTP services</w:t>
      </w:r>
    </w:p>
    <w:p>
      <w:pPr>
        <w:pStyle w:val="ListBullet"/>
        <w:spacing w:after="60" w:line="259" w:lineRule="auto"/>
      </w:pPr>
      <w:r>
        <w:rPr>
          <w:rFonts w:ascii="Arial" w:hAnsi="Arial"/>
        </w:rPr>
        <w:t>Production databases and cloud document storage</w:t>
      </w:r>
    </w:p>
    <w:p>
      <w:pPr>
        <w:pStyle w:val="ListBullet"/>
        <w:spacing w:after="60" w:line="259" w:lineRule="auto"/>
      </w:pPr>
      <w:r>
        <w:rPr>
          <w:rFonts w:ascii="Arial" w:hAnsi="Arial"/>
        </w:rPr>
        <w:t>Live National Medical Commission or hospital integrations</w:t>
      </w:r>
    </w:p>
    <w:p>
      <w:pPr>
        <w:pStyle w:val="ListBullet"/>
        <w:spacing w:after="60" w:line="259" w:lineRule="auto"/>
      </w:pPr>
      <w:r>
        <w:rPr>
          <w:rFonts w:ascii="Arial" w:hAnsi="Arial"/>
        </w:rPr>
        <w:t>Real OCR or AI medical interpretation</w:t>
      </w:r>
    </w:p>
    <w:p>
      <w:pPr>
        <w:pStyle w:val="ListBullet"/>
        <w:spacing w:after="60" w:line="259" w:lineRule="auto"/>
      </w:pPr>
      <w:r>
        <w:rPr>
          <w:rFonts w:ascii="Arial" w:hAnsi="Arial"/>
        </w:rPr>
        <w:t>Payments, subscriptions, messaging, and video consultations</w:t>
      </w:r>
    </w:p>
    <w:p>
      <w:pPr>
        <w:pStyle w:val="ListBullet"/>
        <w:spacing w:after="60" w:line="259" w:lineRule="auto"/>
      </w:pPr>
      <w:r>
        <w:rPr>
          <w:rFonts w:ascii="Arial" w:hAnsi="Arial"/>
        </w:rPr>
        <w:t>Emergency access and emergency QR records</w:t>
      </w:r>
    </w:p>
    <w:p>
      <w:pPr>
        <w:pStyle w:val="ListBullet"/>
        <w:spacing w:after="60" w:line="259" w:lineRule="auto"/>
      </w:pPr>
      <w:r>
        <w:rPr>
          <w:rFonts w:ascii="Arial" w:hAnsi="Arial"/>
        </w:rPr>
        <w:t>Native iOS and Android applications</w:t>
      </w:r>
    </w:p>
    <w:p>
      <w:pPr>
        <w:pStyle w:val="ListBullet"/>
        <w:spacing w:after="60" w:line="259" w:lineRule="auto"/>
      </w:pPr>
      <w:r>
        <w:rPr>
          <w:rFonts w:ascii="Arial" w:hAnsi="Arial"/>
        </w:rPr>
        <w:t>Regulatory or clinical-readiness claims</w:t>
      </w:r>
    </w:p>
    <w:p>
      <w:pPr>
        <w:pStyle w:val="Heading2"/>
        <w:keepNext/>
      </w:pPr>
      <w:r>
        <w:t>Release Success</w:t>
      </w:r>
    </w:p>
    <w:p>
      <w:pPr>
        <w:spacing w:after="140" w:line="269" w:lineRule="auto"/>
      </w:pPr>
      <w:r>
        <w:rPr>
          <w:rFonts w:ascii="Arial" w:hAnsi="Arial"/>
          <w:i w:val="0"/>
        </w:rPr>
        <w:t>Version 0.1.1 succeeds when a viewer can complete a coherent patient journey and understand how the same authorized record appears to a doctor. The experience must be convincing without depending on real accounts, real health information, or external services.</w:t>
      </w:r>
    </w:p>
    <w:p>
      <w:pPr>
        <w:pStyle w:val="Heading1"/>
      </w:pPr>
      <w:r>
        <w:t>Technology Stack</w:t>
      </w:r>
    </w:p>
    <w:p>
      <w:pPr/>
      <w:r>
        <w:t>Health Dossier Version 0.1.1 will use one approved TypeScript web stack. The demo will run locally and will not require cloud accounts or external services.</w:t>
      </w:r>
    </w:p>
    <w:p>
      <w:pPr>
        <w:pStyle w:val="Heading2"/>
      </w:pPr>
      <w:r>
        <w:t>Approved Web Stack</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520"/>
        <w:gridCol w:w="2664"/>
        <w:gridCol w:w="4680"/>
      </w:tblGrid>
      <w:tr>
        <w:trPr>
          <w:tblHeader w:val="true"/>
          <w:cantSplit/>
        </w:trPr>
        <w:tc>
          <w:tcPr>
            <w:tcW w:type="dxa" w:w="2520"/>
            <w:vAlign w:val="center"/>
            <w:tcMar>
              <w:top w:w="100" w:type="dxa"/>
              <w:start w:w="120" w:type="dxa"/>
              <w:bottom w:w="100" w:type="dxa"/>
              <w:end w:w="120" w:type="dxa"/>
            </w:tcMar>
            <w:shd w:fill="2563EB"/>
          </w:tcPr>
          <w:p>
            <w:pPr>
              <w:spacing w:after="0" w:line="252" w:lineRule="auto"/>
              <w:jc w:val="center"/>
            </w:pPr>
            <w:r>
              <w:rPr>
                <w:rFonts w:ascii="Arial" w:hAnsi="Arial"/>
                <w:b/>
                <w:color w:val="FFFFFF"/>
                <w:sz w:val="21"/>
              </w:rPr>
              <w:t>Area</w:t>
            </w:r>
          </w:p>
        </w:tc>
        <w:tc>
          <w:tcPr>
            <w:tcW w:type="dxa" w:w="2664"/>
            <w:vAlign w:val="center"/>
            <w:tcMar>
              <w:top w:w="100" w:type="dxa"/>
              <w:start w:w="120" w:type="dxa"/>
              <w:bottom w:w="100" w:type="dxa"/>
              <w:end w:w="120" w:type="dxa"/>
            </w:tcMar>
            <w:shd w:fill="2563EB"/>
          </w:tcPr>
          <w:p>
            <w:pPr>
              <w:spacing w:after="0" w:line="252" w:lineRule="auto"/>
              <w:jc w:val="center"/>
            </w:pPr>
            <w:r>
              <w:rPr>
                <w:rFonts w:ascii="Arial" w:hAnsi="Arial"/>
                <w:b/>
                <w:color w:val="FFFFFF"/>
                <w:sz w:val="21"/>
              </w:rPr>
              <w:t>Technology</w:t>
            </w:r>
          </w:p>
        </w:tc>
        <w:tc>
          <w:tcPr>
            <w:tcW w:type="dxa" w:w="4680"/>
            <w:vAlign w:val="center"/>
            <w:tcMar>
              <w:top w:w="100" w:type="dxa"/>
              <w:start w:w="120" w:type="dxa"/>
              <w:bottom w:w="100" w:type="dxa"/>
              <w:end w:w="120" w:type="dxa"/>
            </w:tcMar>
            <w:shd w:fill="2563EB"/>
          </w:tcPr>
          <w:p>
            <w:pPr>
              <w:spacing w:after="0" w:line="252" w:lineRule="auto"/>
              <w:jc w:val="center"/>
            </w:pPr>
            <w:r>
              <w:rPr>
                <w:rFonts w:ascii="Arial" w:hAnsi="Arial"/>
                <w:b/>
                <w:color w:val="FFFFFF"/>
                <w:sz w:val="21"/>
              </w:rPr>
              <w:t>Decision</w:t>
            </w:r>
          </w:p>
        </w:tc>
      </w:tr>
      <w:tr>
        <w:trPr>
          <w:cantSplit/>
        </w:trPr>
        <w:tc>
          <w:tcPr>
            <w:tcW w:type="dxa" w:w="2520"/>
            <w:vAlign w:val="center"/>
            <w:tcMar>
              <w:top w:w="100" w:type="dxa"/>
              <w:start w:w="120" w:type="dxa"/>
              <w:bottom w:w="100" w:type="dxa"/>
              <w:end w:w="120" w:type="dxa"/>
            </w:tcMar>
          </w:tcPr>
          <w:p>
            <w:pPr>
              <w:spacing w:after="0" w:line="252" w:lineRule="auto"/>
              <w:jc w:val="center"/>
            </w:pPr>
            <w:r>
              <w:rPr>
                <w:rFonts w:ascii="Arial" w:hAnsi="Arial"/>
                <w:sz w:val="21"/>
              </w:rPr>
              <w:t>Framework</w:t>
            </w:r>
          </w:p>
        </w:tc>
        <w:tc>
          <w:tcPr>
            <w:tcW w:type="dxa" w:w="2664"/>
            <w:vAlign w:val="center"/>
            <w:tcMar>
              <w:top w:w="100" w:type="dxa"/>
              <w:start w:w="120" w:type="dxa"/>
              <w:bottom w:w="100" w:type="dxa"/>
              <w:end w:w="120" w:type="dxa"/>
            </w:tcMar>
          </w:tcPr>
          <w:p>
            <w:pPr>
              <w:spacing w:after="0" w:line="252" w:lineRule="auto"/>
              <w:jc w:val="center"/>
            </w:pPr>
            <w:r>
              <w:rPr>
                <w:rFonts w:ascii="Arial" w:hAnsi="Arial"/>
                <w:sz w:val="21"/>
              </w:rPr>
              <w:t>Next.js</w:t>
            </w:r>
          </w:p>
        </w:tc>
        <w:tc>
          <w:tcPr>
            <w:tcW w:type="dxa" w:w="4680"/>
            <w:vAlign w:val="center"/>
            <w:tcMar>
              <w:top w:w="100" w:type="dxa"/>
              <w:start w:w="120" w:type="dxa"/>
              <w:bottom w:w="100" w:type="dxa"/>
              <w:end w:w="120" w:type="dxa"/>
            </w:tcMar>
          </w:tcPr>
          <w:p>
            <w:pPr>
              <w:spacing w:after="0" w:line="252" w:lineRule="auto"/>
              <w:jc w:val="left"/>
            </w:pPr>
            <w:r>
              <w:rPr>
                <w:rFonts w:ascii="Arial" w:hAnsi="Arial"/>
                <w:sz w:val="21"/>
              </w:rPr>
              <w:t>Use the App Router for pages, layouts, and navigation.</w:t>
            </w:r>
          </w:p>
        </w:tc>
      </w:tr>
      <w:tr>
        <w:trPr>
          <w:cantSplit/>
        </w:trPr>
        <w:tc>
          <w:tcPr>
            <w:tcW w:type="dxa" w:w="2520"/>
            <w:vAlign w:val="center"/>
            <w:tcMar>
              <w:top w:w="100" w:type="dxa"/>
              <w:start w:w="120" w:type="dxa"/>
              <w:bottom w:w="100" w:type="dxa"/>
              <w:end w:w="120" w:type="dxa"/>
            </w:tcMar>
            <w:shd w:fill="F2F6FA"/>
          </w:tcPr>
          <w:p>
            <w:pPr>
              <w:spacing w:after="0" w:line="252" w:lineRule="auto"/>
              <w:jc w:val="center"/>
            </w:pPr>
            <w:r>
              <w:rPr>
                <w:rFonts w:ascii="Arial" w:hAnsi="Arial"/>
                <w:sz w:val="21"/>
              </w:rPr>
              <w:t>Language</w:t>
            </w:r>
          </w:p>
        </w:tc>
        <w:tc>
          <w:tcPr>
            <w:tcW w:type="dxa" w:w="2664"/>
            <w:vAlign w:val="center"/>
            <w:tcMar>
              <w:top w:w="100" w:type="dxa"/>
              <w:start w:w="120" w:type="dxa"/>
              <w:bottom w:w="100" w:type="dxa"/>
              <w:end w:w="120" w:type="dxa"/>
            </w:tcMar>
            <w:shd w:fill="F2F6FA"/>
          </w:tcPr>
          <w:p>
            <w:pPr>
              <w:spacing w:after="0" w:line="252" w:lineRule="auto"/>
              <w:jc w:val="center"/>
            </w:pPr>
            <w:r>
              <w:rPr>
                <w:rFonts w:ascii="Arial" w:hAnsi="Arial"/>
                <w:sz w:val="21"/>
              </w:rPr>
              <w:t>TypeScript</w:t>
            </w:r>
          </w:p>
        </w:tc>
        <w:tc>
          <w:tcPr>
            <w:tcW w:type="dxa" w:w="4680"/>
            <w:vAlign w:val="center"/>
            <w:tcMar>
              <w:top w:w="100" w:type="dxa"/>
              <w:start w:w="120" w:type="dxa"/>
              <w:bottom w:w="100" w:type="dxa"/>
              <w:end w:w="120" w:type="dxa"/>
            </w:tcMar>
            <w:shd w:fill="F2F6FA"/>
          </w:tcPr>
          <w:p>
            <w:pPr>
              <w:spacing w:after="0" w:line="252" w:lineRule="auto"/>
              <w:jc w:val="left"/>
            </w:pPr>
            <w:r>
              <w:rPr>
                <w:rFonts w:ascii="Arial" w:hAnsi="Arial"/>
                <w:sz w:val="21"/>
              </w:rPr>
              <w:t>Use typed data models and application code throughout the project.</w:t>
            </w:r>
          </w:p>
        </w:tc>
      </w:tr>
      <w:tr>
        <w:trPr>
          <w:cantSplit/>
        </w:trPr>
        <w:tc>
          <w:tcPr>
            <w:tcW w:type="dxa" w:w="2520"/>
            <w:vAlign w:val="center"/>
            <w:tcMar>
              <w:top w:w="100" w:type="dxa"/>
              <w:start w:w="120" w:type="dxa"/>
              <w:bottom w:w="100" w:type="dxa"/>
              <w:end w:w="120" w:type="dxa"/>
            </w:tcMar>
          </w:tcPr>
          <w:p>
            <w:pPr>
              <w:spacing w:after="0" w:line="252" w:lineRule="auto"/>
              <w:jc w:val="center"/>
            </w:pPr>
            <w:r>
              <w:rPr>
                <w:rFonts w:ascii="Arial" w:hAnsi="Arial"/>
                <w:sz w:val="21"/>
              </w:rPr>
              <w:t>Interface</w:t>
            </w:r>
          </w:p>
        </w:tc>
        <w:tc>
          <w:tcPr>
            <w:tcW w:type="dxa" w:w="2664"/>
            <w:vAlign w:val="center"/>
            <w:tcMar>
              <w:top w:w="100" w:type="dxa"/>
              <w:start w:w="120" w:type="dxa"/>
              <w:bottom w:w="100" w:type="dxa"/>
              <w:end w:w="120" w:type="dxa"/>
            </w:tcMar>
          </w:tcPr>
          <w:p>
            <w:pPr>
              <w:spacing w:after="0" w:line="252" w:lineRule="auto"/>
              <w:jc w:val="center"/>
            </w:pPr>
            <w:r>
              <w:rPr>
                <w:rFonts w:ascii="Arial" w:hAnsi="Arial"/>
                <w:sz w:val="21"/>
              </w:rPr>
              <w:t>React</w:t>
            </w:r>
          </w:p>
        </w:tc>
        <w:tc>
          <w:tcPr>
            <w:tcW w:type="dxa" w:w="4680"/>
            <w:vAlign w:val="center"/>
            <w:tcMar>
              <w:top w:w="100" w:type="dxa"/>
              <w:start w:w="120" w:type="dxa"/>
              <w:bottom w:w="100" w:type="dxa"/>
              <w:end w:w="120" w:type="dxa"/>
            </w:tcMar>
          </w:tcPr>
          <w:p>
            <w:pPr>
              <w:spacing w:after="0" w:line="252" w:lineRule="auto"/>
              <w:jc w:val="left"/>
            </w:pPr>
            <w:r>
              <w:rPr>
                <w:rFonts w:ascii="Arial" w:hAnsi="Arial"/>
                <w:sz w:val="21"/>
              </w:rPr>
              <w:t>Build reusable web components for the landing page and role-based demo.</w:t>
            </w:r>
          </w:p>
        </w:tc>
      </w:tr>
      <w:tr>
        <w:trPr>
          <w:cantSplit/>
        </w:trPr>
        <w:tc>
          <w:tcPr>
            <w:tcW w:type="dxa" w:w="2520"/>
            <w:vAlign w:val="center"/>
            <w:tcMar>
              <w:top w:w="100" w:type="dxa"/>
              <w:start w:w="120" w:type="dxa"/>
              <w:bottom w:w="100" w:type="dxa"/>
              <w:end w:w="120" w:type="dxa"/>
            </w:tcMar>
            <w:shd w:fill="F2F6FA"/>
          </w:tcPr>
          <w:p>
            <w:pPr>
              <w:spacing w:after="0" w:line="252" w:lineRule="auto"/>
              <w:jc w:val="center"/>
            </w:pPr>
            <w:r>
              <w:rPr>
                <w:rFonts w:ascii="Arial" w:hAnsi="Arial"/>
                <w:sz w:val="21"/>
              </w:rPr>
              <w:t>Styling</w:t>
            </w:r>
          </w:p>
        </w:tc>
        <w:tc>
          <w:tcPr>
            <w:tcW w:type="dxa" w:w="2664"/>
            <w:vAlign w:val="center"/>
            <w:tcMar>
              <w:top w:w="100" w:type="dxa"/>
              <w:start w:w="120" w:type="dxa"/>
              <w:bottom w:w="100" w:type="dxa"/>
              <w:end w:w="120" w:type="dxa"/>
            </w:tcMar>
            <w:shd w:fill="F2F6FA"/>
          </w:tcPr>
          <w:p>
            <w:pPr>
              <w:spacing w:after="0" w:line="252" w:lineRule="auto"/>
              <w:jc w:val="center"/>
            </w:pPr>
            <w:r>
              <w:rPr>
                <w:rFonts w:ascii="Arial" w:hAnsi="Arial"/>
                <w:sz w:val="21"/>
              </w:rPr>
              <w:t>Tailwind CSS</w:t>
            </w:r>
          </w:p>
        </w:tc>
        <w:tc>
          <w:tcPr>
            <w:tcW w:type="dxa" w:w="4680"/>
            <w:vAlign w:val="center"/>
            <w:tcMar>
              <w:top w:w="100" w:type="dxa"/>
              <w:start w:w="120" w:type="dxa"/>
              <w:bottom w:w="100" w:type="dxa"/>
              <w:end w:w="120" w:type="dxa"/>
            </w:tcMar>
            <w:shd w:fill="F2F6FA"/>
          </w:tcPr>
          <w:p>
            <w:pPr>
              <w:spacing w:after="0" w:line="252" w:lineRule="auto"/>
              <w:jc w:val="left"/>
            </w:pPr>
            <w:r>
              <w:rPr>
                <w:rFonts w:ascii="Arial" w:hAnsi="Arial"/>
                <w:sz w:val="21"/>
              </w:rPr>
              <w:t>Implement the approved visual system with responsive, mobile-first styles.</w:t>
            </w:r>
          </w:p>
        </w:tc>
      </w:tr>
      <w:tr>
        <w:trPr>
          <w:cantSplit/>
        </w:trPr>
        <w:tc>
          <w:tcPr>
            <w:tcW w:type="dxa" w:w="2520"/>
            <w:vAlign w:val="center"/>
            <w:tcMar>
              <w:top w:w="100" w:type="dxa"/>
              <w:start w:w="120" w:type="dxa"/>
              <w:bottom w:w="100" w:type="dxa"/>
              <w:end w:w="120" w:type="dxa"/>
            </w:tcMar>
          </w:tcPr>
          <w:p>
            <w:pPr>
              <w:spacing w:after="0" w:line="252" w:lineRule="auto"/>
              <w:jc w:val="center"/>
            </w:pPr>
            <w:r>
              <w:rPr>
                <w:rFonts w:ascii="Arial" w:hAnsi="Arial"/>
                <w:sz w:val="21"/>
              </w:rPr>
              <w:t>Components</w:t>
            </w:r>
          </w:p>
        </w:tc>
        <w:tc>
          <w:tcPr>
            <w:tcW w:type="dxa" w:w="2664"/>
            <w:vAlign w:val="center"/>
            <w:tcMar>
              <w:top w:w="100" w:type="dxa"/>
              <w:start w:w="120" w:type="dxa"/>
              <w:bottom w:w="100" w:type="dxa"/>
              <w:end w:w="120" w:type="dxa"/>
            </w:tcMar>
          </w:tcPr>
          <w:p>
            <w:pPr>
              <w:spacing w:after="0" w:line="252" w:lineRule="auto"/>
              <w:jc w:val="center"/>
            </w:pPr>
            <w:r>
              <w:rPr>
                <w:rFonts w:ascii="Arial" w:hAnsi="Arial"/>
                <w:sz w:val="21"/>
              </w:rPr>
              <w:t>shadcn/ui</w:t>
            </w:r>
          </w:p>
        </w:tc>
        <w:tc>
          <w:tcPr>
            <w:tcW w:type="dxa" w:w="4680"/>
            <w:vAlign w:val="center"/>
            <w:tcMar>
              <w:top w:w="100" w:type="dxa"/>
              <w:start w:w="120" w:type="dxa"/>
              <w:bottom w:w="100" w:type="dxa"/>
              <w:end w:w="120" w:type="dxa"/>
            </w:tcMar>
          </w:tcPr>
          <w:p>
            <w:pPr>
              <w:spacing w:after="0" w:line="252" w:lineRule="auto"/>
              <w:jc w:val="left"/>
            </w:pPr>
            <w:r>
              <w:rPr>
                <w:rFonts w:ascii="Arial" w:hAnsi="Arial"/>
                <w:sz w:val="21"/>
              </w:rPr>
              <w:t>Customize accessible component foundations instead of using an unchanged theme.</w:t>
            </w:r>
          </w:p>
        </w:tc>
      </w:tr>
      <w:tr>
        <w:trPr>
          <w:cantSplit/>
        </w:trPr>
        <w:tc>
          <w:tcPr>
            <w:tcW w:type="dxa" w:w="2520"/>
            <w:vAlign w:val="center"/>
            <w:tcMar>
              <w:top w:w="100" w:type="dxa"/>
              <w:start w:w="120" w:type="dxa"/>
              <w:bottom w:w="100" w:type="dxa"/>
              <w:end w:w="120" w:type="dxa"/>
            </w:tcMar>
            <w:shd w:fill="F2F6FA"/>
          </w:tcPr>
          <w:p>
            <w:pPr>
              <w:spacing w:after="0" w:line="252" w:lineRule="auto"/>
              <w:jc w:val="center"/>
            </w:pPr>
            <w:r>
              <w:rPr>
                <w:rFonts w:ascii="Arial" w:hAnsi="Arial"/>
                <w:sz w:val="21"/>
              </w:rPr>
              <w:t>Icons</w:t>
            </w:r>
          </w:p>
        </w:tc>
        <w:tc>
          <w:tcPr>
            <w:tcW w:type="dxa" w:w="2664"/>
            <w:vAlign w:val="center"/>
            <w:tcMar>
              <w:top w:w="100" w:type="dxa"/>
              <w:start w:w="120" w:type="dxa"/>
              <w:bottom w:w="100" w:type="dxa"/>
              <w:end w:w="120" w:type="dxa"/>
            </w:tcMar>
            <w:shd w:fill="F2F6FA"/>
          </w:tcPr>
          <w:p>
            <w:pPr>
              <w:spacing w:after="0" w:line="252" w:lineRule="auto"/>
              <w:jc w:val="center"/>
            </w:pPr>
            <w:r>
              <w:rPr>
                <w:rFonts w:ascii="Arial" w:hAnsi="Arial"/>
                <w:sz w:val="21"/>
              </w:rPr>
              <w:t>Lucide</w:t>
            </w:r>
          </w:p>
        </w:tc>
        <w:tc>
          <w:tcPr>
            <w:tcW w:type="dxa" w:w="4680"/>
            <w:vAlign w:val="center"/>
            <w:tcMar>
              <w:top w:w="100" w:type="dxa"/>
              <w:start w:w="120" w:type="dxa"/>
              <w:bottom w:w="100" w:type="dxa"/>
              <w:end w:w="120" w:type="dxa"/>
            </w:tcMar>
            <w:shd w:fill="F2F6FA"/>
          </w:tcPr>
          <w:p>
            <w:pPr>
              <w:spacing w:after="0" w:line="252" w:lineRule="auto"/>
              <w:jc w:val="left"/>
            </w:pPr>
            <w:r>
              <w:rPr>
                <w:rFonts w:ascii="Arial" w:hAnsi="Arial"/>
                <w:sz w:val="21"/>
              </w:rPr>
              <w:t>Use one consistent icon family and pair important status icons with text.</w:t>
            </w:r>
          </w:p>
        </w:tc>
      </w:tr>
      <w:tr>
        <w:trPr>
          <w:cantSplit/>
        </w:trPr>
        <w:tc>
          <w:tcPr>
            <w:tcW w:type="dxa" w:w="2520"/>
            <w:vAlign w:val="center"/>
            <w:tcMar>
              <w:top w:w="100" w:type="dxa"/>
              <w:start w:w="120" w:type="dxa"/>
              <w:bottom w:w="100" w:type="dxa"/>
              <w:end w:w="120" w:type="dxa"/>
            </w:tcMar>
          </w:tcPr>
          <w:p>
            <w:pPr>
              <w:spacing w:after="0" w:line="252" w:lineRule="auto"/>
              <w:jc w:val="center"/>
            </w:pPr>
            <w:r>
              <w:rPr>
                <w:rFonts w:ascii="Arial" w:hAnsi="Arial"/>
                <w:sz w:val="21"/>
              </w:rPr>
              <w:t>Validation</w:t>
            </w:r>
          </w:p>
        </w:tc>
        <w:tc>
          <w:tcPr>
            <w:tcW w:type="dxa" w:w="2664"/>
            <w:vAlign w:val="center"/>
            <w:tcMar>
              <w:top w:w="100" w:type="dxa"/>
              <w:start w:w="120" w:type="dxa"/>
              <w:bottom w:w="100" w:type="dxa"/>
              <w:end w:w="120" w:type="dxa"/>
            </w:tcMar>
          </w:tcPr>
          <w:p>
            <w:pPr>
              <w:spacing w:after="0" w:line="252" w:lineRule="auto"/>
              <w:jc w:val="center"/>
            </w:pPr>
            <w:r>
              <w:rPr>
                <w:rFonts w:ascii="Arial" w:hAnsi="Arial"/>
                <w:sz w:val="21"/>
              </w:rPr>
              <w:t>Zod</w:t>
            </w:r>
          </w:p>
        </w:tc>
        <w:tc>
          <w:tcPr>
            <w:tcW w:type="dxa" w:w="4680"/>
            <w:vAlign w:val="center"/>
            <w:tcMar>
              <w:top w:w="100" w:type="dxa"/>
              <w:start w:w="120" w:type="dxa"/>
              <w:bottom w:w="100" w:type="dxa"/>
              <w:end w:w="120" w:type="dxa"/>
            </w:tcMar>
          </w:tcPr>
          <w:p>
            <w:pPr>
              <w:spacing w:after="0" w:line="252" w:lineRule="auto"/>
              <w:jc w:val="left"/>
            </w:pPr>
            <w:r>
              <w:rPr>
                <w:rFonts w:ascii="Arial" w:hAnsi="Arial"/>
                <w:sz w:val="21"/>
              </w:rPr>
              <w:t>Validate forms, local fixture data, and shared data contracts.</w:t>
            </w:r>
          </w:p>
        </w:tc>
      </w:tr>
      <w:tr>
        <w:trPr>
          <w:cantSplit/>
        </w:trPr>
        <w:tc>
          <w:tcPr>
            <w:tcW w:type="dxa" w:w="2520"/>
            <w:vAlign w:val="center"/>
            <w:tcMar>
              <w:top w:w="100" w:type="dxa"/>
              <w:start w:w="120" w:type="dxa"/>
              <w:bottom w:w="100" w:type="dxa"/>
              <w:end w:w="120" w:type="dxa"/>
            </w:tcMar>
            <w:shd w:fill="F2F6FA"/>
          </w:tcPr>
          <w:p>
            <w:pPr>
              <w:spacing w:after="0" w:line="252" w:lineRule="auto"/>
              <w:jc w:val="center"/>
            </w:pPr>
            <w:r>
              <w:rPr>
                <w:rFonts w:ascii="Arial" w:hAnsi="Arial"/>
                <w:sz w:val="21"/>
              </w:rPr>
              <w:t>Testing</w:t>
            </w:r>
          </w:p>
        </w:tc>
        <w:tc>
          <w:tcPr>
            <w:tcW w:type="dxa" w:w="2664"/>
            <w:vAlign w:val="center"/>
            <w:tcMar>
              <w:top w:w="100" w:type="dxa"/>
              <w:start w:w="120" w:type="dxa"/>
              <w:bottom w:w="100" w:type="dxa"/>
              <w:end w:w="120" w:type="dxa"/>
            </w:tcMar>
            <w:shd w:fill="F2F6FA"/>
          </w:tcPr>
          <w:p>
            <w:pPr>
              <w:spacing w:after="0" w:line="252" w:lineRule="auto"/>
              <w:jc w:val="center"/>
            </w:pPr>
            <w:r>
              <w:rPr>
                <w:rFonts w:ascii="Arial" w:hAnsi="Arial"/>
                <w:sz w:val="21"/>
              </w:rPr>
              <w:t>Vitest and Playwright</w:t>
            </w:r>
          </w:p>
        </w:tc>
        <w:tc>
          <w:tcPr>
            <w:tcW w:type="dxa" w:w="4680"/>
            <w:vAlign w:val="center"/>
            <w:tcMar>
              <w:top w:w="100" w:type="dxa"/>
              <w:start w:w="120" w:type="dxa"/>
              <w:bottom w:w="100" w:type="dxa"/>
              <w:end w:w="120" w:type="dxa"/>
            </w:tcMar>
            <w:shd w:fill="F2F6FA"/>
          </w:tcPr>
          <w:p>
            <w:pPr>
              <w:spacing w:after="0" w:line="252" w:lineRule="auto"/>
              <w:jc w:val="left"/>
            </w:pPr>
            <w:r>
              <w:rPr>
                <w:rFonts w:ascii="Arial" w:hAnsi="Arial"/>
                <w:sz w:val="21"/>
              </w:rPr>
              <w:t>Test components and logic with Vitest and key browser journeys with Playwright.</w:t>
            </w:r>
          </w:p>
        </w:tc>
      </w:tr>
      <w:tr>
        <w:trPr>
          <w:cantSplit/>
        </w:trPr>
        <w:tc>
          <w:tcPr>
            <w:tcW w:type="dxa" w:w="2520"/>
            <w:vAlign w:val="center"/>
            <w:tcMar>
              <w:top w:w="100" w:type="dxa"/>
              <w:start w:w="120" w:type="dxa"/>
              <w:bottom w:w="100" w:type="dxa"/>
              <w:end w:w="120" w:type="dxa"/>
            </w:tcMar>
          </w:tcPr>
          <w:p>
            <w:pPr>
              <w:spacing w:after="0" w:line="252" w:lineRule="auto"/>
              <w:jc w:val="center"/>
            </w:pPr>
            <w:r>
              <w:rPr>
                <w:rFonts w:ascii="Arial" w:hAnsi="Arial"/>
                <w:sz w:val="21"/>
              </w:rPr>
              <w:t>Tooling</w:t>
            </w:r>
          </w:p>
        </w:tc>
        <w:tc>
          <w:tcPr>
            <w:tcW w:type="dxa" w:w="2664"/>
            <w:vAlign w:val="center"/>
            <w:tcMar>
              <w:top w:w="100" w:type="dxa"/>
              <w:start w:w="120" w:type="dxa"/>
              <w:bottom w:w="100" w:type="dxa"/>
              <w:end w:w="120" w:type="dxa"/>
            </w:tcMar>
          </w:tcPr>
          <w:p>
            <w:pPr>
              <w:spacing w:after="0" w:line="252" w:lineRule="auto"/>
              <w:jc w:val="center"/>
            </w:pPr>
            <w:r>
              <w:rPr>
                <w:rFonts w:ascii="Arial" w:hAnsi="Arial"/>
                <w:sz w:val="21"/>
              </w:rPr>
              <w:t>npm and GitHub</w:t>
            </w:r>
          </w:p>
        </w:tc>
        <w:tc>
          <w:tcPr>
            <w:tcW w:type="dxa" w:w="4680"/>
            <w:vAlign w:val="center"/>
            <w:tcMar>
              <w:top w:w="100" w:type="dxa"/>
              <w:start w:w="120" w:type="dxa"/>
              <w:bottom w:w="100" w:type="dxa"/>
              <w:end w:w="120" w:type="dxa"/>
            </w:tcMar>
          </w:tcPr>
          <w:p>
            <w:pPr>
              <w:spacing w:after="0" w:line="252" w:lineRule="auto"/>
              <w:jc w:val="left"/>
            </w:pPr>
            <w:r>
              <w:rPr>
                <w:rFonts w:ascii="Arial" w:hAnsi="Arial"/>
                <w:sz w:val="21"/>
              </w:rPr>
              <w:t>Manage packages with npm and keep source history in Git and GitHub.</w:t>
            </w:r>
          </w:p>
        </w:tc>
      </w:tr>
    </w:tbl>
    <w:p>
      <w:pPr>
        <w:pStyle w:val="Heading2"/>
      </w:pPr>
      <w:r>
        <w:t>Version 0.1.1 Local Architecture</w:t>
      </w:r>
    </w:p>
    <w:p>
      <w:pPr>
        <w:pStyle w:val="ListBullet"/>
      </w:pPr>
      <w:r>
        <w:t>Store fictional users, reports, appointments, medicines, alerts, permissions, and activity events in local TypeScript or JSON fixtures.</w:t>
      </w:r>
    </w:p>
    <w:p>
      <w:pPr>
        <w:pStyle w:val="ListBullet"/>
      </w:pPr>
      <w:r>
        <w:t>Use React's built-in state tools and browser storage only for harmless demo preferences and fictional state changes.</w:t>
      </w:r>
    </w:p>
    <w:p>
      <w:pPr>
        <w:pStyle w:val="ListBullet"/>
      </w:pPr>
      <w:r>
        <w:t>Keep sample report previews on the user's device. Do not upload user-selected documents or commit them to Git.</w:t>
      </w:r>
    </w:p>
    <w:p>
      <w:pPr>
        <w:pStyle w:val="ListBullet"/>
      </w:pPr>
      <w:r>
        <w:t>Simulate Google sign-in, Apple sign-in, phone OTP, report extraction, doctor verification, and record sharing.</w:t>
      </w:r>
    </w:p>
    <w:p>
      <w:pPr>
        <w:pStyle w:val="ListBullet"/>
      </w:pPr>
      <w:r>
        <w:t>Do not create a database, backend account, cloud-storage bucket, or hosted environment for Version 0.1.1.</w:t>
      </w:r>
    </w:p>
    <w:p>
      <w:pPr>
        <w:pStyle w:val="Heading2"/>
        <w:keepNext/>
      </w:pPr>
      <w:r>
        <w:t>Planned Production Services</w:t>
      </w:r>
    </w:p>
    <w:p>
      <w:pPr>
        <w:keepLines/>
      </w:pPr>
      <w:r>
        <w:t>The proposed production direction is Supabase for PostgreSQL, authentication, storage, and permission enforcement. This decision remains provisional until the team completes reviews covering hosting location, encryption, consent evidence, access auditing, retention, backups, breach response, Indian privacy requirements, and healthcare governance.</w:t>
      </w:r>
    </w:p>
    <w:p>
      <w:pPr>
        <w:pStyle w:val="Heading2"/>
      </w:pPr>
      <w:r>
        <w:t>Planned Mobile Application</w:t>
      </w:r>
    </w:p>
    <w:p>
      <w:pPr/>
      <w:r>
        <w:t>The future mobile application will use React Native and Expo. The web and mobile projects should share TypeScript data models, Zod validation rules, API contracts, design tokens, and business rules where practical. Web components should not be assumed to work unchanged on iOS or Android.</w:t>
      </w:r>
    </w:p>
    <w:p>
      <w:pPr>
        <w:pStyle w:val="Heading2"/>
      </w:pPr>
      <w:r>
        <w:t>Implementation Boundary</w:t>
      </w:r>
    </w:p>
    <w:p>
      <w:pPr/>
      <w:r>
        <w:t>The selected technologies do not by themselves make the product secure, clinically ready, or legally compliant. Real medical information must remain outside the product until a separate production architecture and governance review is complete.</w:t>
      </w:r>
    </w:p>
    <w:p>
      <w:pPr>
        <w:pStyle w:val="Heading1"/>
        <w:keepNext/>
      </w:pPr>
      <w:r>
        <w:t>Users and Access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Role</w:t>
            </w:r>
          </w:p>
        </w:tc>
        <w:tc>
          <w:tcPr>
            <w:tcW w:type="dxa" w:w="367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Primary need</w:t>
            </w:r>
          </w:p>
        </w:tc>
        <w:tc>
          <w:tcPr>
            <w:tcW w:type="dxa" w:w="3744"/>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Version 0.1.1 capability</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Patient</w:t>
            </w:r>
          </w:p>
        </w:tc>
        <w:tc>
          <w:tcPr>
            <w:tcW w:type="dxa" w:w="36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Organize and control a lifelong record</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Complete report and sharing journey</w:t>
            </w:r>
          </w:p>
        </w:tc>
      </w:tr>
      <w:tr>
        <w:trPr>
          <w:cantSplit/>
        </w:trPr>
        <w:tc>
          <w:tcPr>
            <w:tcW w:type="dxa" w:w="223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Doctor</w:t>
            </w:r>
          </w:p>
        </w:tc>
        <w:tc>
          <w:tcPr>
            <w:tcW w:type="dxa" w:w="367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Review authorized history and contribute care records</w:t>
            </w:r>
          </w:p>
        </w:tc>
        <w:tc>
          <w:tcPr>
            <w:tcW w:type="dxa" w:w="374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Functional demo journey</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Clinic or hospital administrator</w:t>
            </w:r>
          </w:p>
        </w:tc>
        <w:tc>
          <w:tcPr>
            <w:tcW w:type="dxa" w:w="36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Manage organization and affiliations</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Preview screens</w:t>
            </w:r>
          </w:p>
        </w:tc>
      </w:tr>
      <w:tr>
        <w:trPr>
          <w:cantSplit/>
        </w:trPr>
        <w:tc>
          <w:tcPr>
            <w:tcW w:type="dxa" w:w="223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Platform administrator</w:t>
            </w:r>
          </w:p>
        </w:tc>
        <w:tc>
          <w:tcPr>
            <w:tcW w:type="dxa" w:w="367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Review verification and platform activity</w:t>
            </w:r>
          </w:p>
        </w:tc>
        <w:tc>
          <w:tcPr>
            <w:tcW w:type="dxa" w:w="374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Preview screens</w:t>
            </w:r>
          </w:p>
        </w:tc>
      </w:tr>
    </w:tbl>
    <w:p>
      <w:pPr>
        <w:spacing w:after="60"/>
      </w:pPr>
    </w:p>
    <w:p>
      <w:pPr>
        <w:pStyle w:val="Heading2"/>
        <w:keepNext/>
      </w:pPr>
      <w:r>
        <w:t>Patient Ownership</w:t>
      </w:r>
    </w:p>
    <w:p>
      <w:pPr>
        <w:spacing w:after="140" w:line="269" w:lineRule="auto"/>
      </w:pPr>
      <w:r>
        <w:rPr>
          <w:rFonts w:ascii="Arial" w:hAnsi="Arial"/>
          <w:i w:val="0"/>
        </w:rPr>
        <w:t>Patients control access to their dossier. They can share one report, a selected group, or the complete history. They can select view-only or view-and-contribute permission and revoke access from the active-access screen.</w:t>
      </w:r>
    </w:p>
    <w:p>
      <w:pPr>
        <w:pStyle w:val="Heading2"/>
        <w:keepNext/>
      </w:pPr>
      <w:r>
        <w:t>Children</w:t>
      </w:r>
    </w:p>
    <w:p>
      <w:pPr>
        <w:spacing w:after="140" w:line="269" w:lineRule="auto"/>
      </w:pPr>
      <w:r>
        <w:rPr>
          <w:rFonts w:ascii="Arial" w:hAnsi="Arial"/>
          <w:i w:val="0"/>
        </w:rPr>
        <w:t>A parent or guardian controls a child's profile until the child turns 18. At that point, the future product must transfer control to the patient through an identity-verified process. Version 0.1.1 explains this behavior but does not implement legal identity transfer.</w:t>
      </w:r>
    </w:p>
    <w:p>
      <w:pPr>
        <w:pStyle w:val="Heading2"/>
        <w:keepNext/>
      </w:pPr>
      <w:r>
        <w:t>Caregivers for Older Adults</w:t>
      </w:r>
    </w:p>
    <w:p>
      <w:pPr>
        <w:spacing w:after="140" w:line="269" w:lineRule="auto"/>
      </w:pPr>
      <w:r>
        <w:rPr>
          <w:rFonts w:ascii="Arial" w:hAnsi="Arial"/>
          <w:i w:val="0"/>
        </w:rPr>
        <w:t>A person aged 60 or above may invite a caregiver. Age never grants access automatically. The patient or an authorized guardian chooses the caregiver, selects permissions, and can revoke access. The caregiver uses a separate account so activity remains attributable.</w:t>
      </w:r>
    </w:p>
    <w:p>
      <w:pPr>
        <w:pStyle w:val="Heading2"/>
        <w:keepNext/>
      </w:pPr>
      <w:r>
        <w:t>Authentication Concept</w:t>
      </w:r>
    </w:p>
    <w:p>
      <w:pPr>
        <w:pStyle w:val="ListBullet"/>
        <w:spacing w:after="60" w:line="259" w:lineRule="auto"/>
      </w:pPr>
      <w:r>
        <w:rPr>
          <w:rFonts w:ascii="Arial" w:hAnsi="Arial"/>
        </w:rPr>
        <w:t>Continue with Google</w:t>
      </w:r>
    </w:p>
    <w:p>
      <w:pPr>
        <w:pStyle w:val="ListBullet"/>
        <w:spacing w:after="60" w:line="259" w:lineRule="auto"/>
      </w:pPr>
      <w:r>
        <w:rPr>
          <w:rFonts w:ascii="Arial" w:hAnsi="Arial"/>
        </w:rPr>
        <w:t>Continue with Apple</w:t>
      </w:r>
    </w:p>
    <w:p>
      <w:pPr>
        <w:pStyle w:val="ListBullet"/>
        <w:spacing w:after="60" w:line="259" w:lineRule="auto"/>
      </w:pPr>
      <w:r>
        <w:rPr>
          <w:rFonts w:ascii="Arial" w:hAnsi="Arial"/>
        </w:rPr>
        <w:t>Phone number and OTP</w:t>
      </w:r>
    </w:p>
    <w:p>
      <w:pPr>
        <w:pStyle w:val="ListBullet"/>
        <w:spacing w:after="60" w:line="259" w:lineRule="auto"/>
      </w:pPr>
      <w:r>
        <w:rPr>
          <w:rFonts w:ascii="Arial" w:hAnsi="Arial"/>
        </w:rPr>
        <w:t>A combined social sign-in and verified phone flow</w:t>
      </w:r>
    </w:p>
    <w:p>
      <w:pPr>
        <w:spacing w:after="140" w:line="269" w:lineRule="auto"/>
      </w:pPr>
      <w:r>
        <w:rPr>
          <w:rFonts w:ascii="Arial" w:hAnsi="Arial"/>
          <w:i w:val="0"/>
        </w:rPr>
        <w:t>All Version 0.1.1 authentication is simulated. The interface must state that no real account is created.</w:t>
      </w:r>
    </w:p>
    <w:p>
      <w:pPr>
        <w:pStyle w:val="Heading1"/>
        <w:keepNext/>
      </w:pPr>
      <w:r>
        <w:t>Experience and Information Architecture</w:t>
      </w:r>
    </w:p>
    <w:p>
      <w:pPr>
        <w:pStyle w:val="Heading2"/>
        <w:keepNext/>
      </w:pPr>
      <w:r>
        <w:t>Public Experience</w:t>
      </w:r>
    </w:p>
    <w:p>
      <w:pPr>
        <w:spacing w:after="140" w:line="269" w:lineRule="auto"/>
      </w:pPr>
      <w:r>
        <w:rPr>
          <w:rFonts w:ascii="Arial" w:hAnsi="Arial"/>
          <w:i w:val="0"/>
        </w:rPr>
        <w:t>The landing page introduces the problem, explains the patient-controlled model, and provides a clear route into the local demo. It must not imply that the platform is publicly available or ready to accept medical data.</w:t>
      </w:r>
    </w:p>
    <w:p>
      <w:pPr>
        <w:pStyle w:val="ListBullet"/>
        <w:spacing w:after="60" w:line="259" w:lineRule="auto"/>
      </w:pPr>
      <w:r>
        <w:rPr>
          <w:rFonts w:ascii="Arial" w:hAnsi="Arial"/>
        </w:rPr>
        <w:t>Header with logo, navigation, and demo login</w:t>
      </w:r>
    </w:p>
    <w:p>
      <w:pPr>
        <w:pStyle w:val="ListBullet"/>
        <w:spacing w:after="60" w:line="259" w:lineRule="auto"/>
      </w:pPr>
      <w:r>
        <w:rPr>
          <w:rFonts w:ascii="Arial" w:hAnsi="Arial"/>
        </w:rPr>
        <w:t>Hero with the approved tagline and an Explore the Demo action</w:t>
      </w:r>
    </w:p>
    <w:p>
      <w:pPr>
        <w:pStyle w:val="ListBullet"/>
        <w:spacing w:after="60" w:line="259" w:lineRule="auto"/>
      </w:pPr>
      <w:r>
        <w:rPr>
          <w:rFonts w:ascii="Arial" w:hAnsi="Arial"/>
        </w:rPr>
        <w:t>Explanation of scattered medical records and repeated history-taking</w:t>
      </w:r>
    </w:p>
    <w:p>
      <w:pPr>
        <w:pStyle w:val="ListBullet"/>
        <w:spacing w:after="60" w:line="259" w:lineRule="auto"/>
      </w:pPr>
      <w:r>
        <w:rPr>
          <w:rFonts w:ascii="Arial" w:hAnsi="Arial"/>
        </w:rPr>
        <w:t>Simple steps showing upload, organize, and share</w:t>
      </w:r>
    </w:p>
    <w:p>
      <w:pPr>
        <w:pStyle w:val="ListBullet"/>
        <w:spacing w:after="60" w:line="259" w:lineRule="auto"/>
      </w:pPr>
      <w:r>
        <w:rPr>
          <w:rFonts w:ascii="Arial" w:hAnsi="Arial"/>
        </w:rPr>
        <w:t>Separate benefits for patients and healthcare providers</w:t>
      </w:r>
    </w:p>
    <w:p>
      <w:pPr>
        <w:pStyle w:val="ListBullet"/>
        <w:spacing w:after="60" w:line="259" w:lineRule="auto"/>
      </w:pPr>
      <w:r>
        <w:rPr>
          <w:rFonts w:ascii="Arial" w:hAnsi="Arial"/>
        </w:rPr>
        <w:t>Privacy and control explanation</w:t>
      </w:r>
    </w:p>
    <w:p>
      <w:pPr>
        <w:pStyle w:val="ListBullet"/>
        <w:spacing w:after="60" w:line="259" w:lineRule="auto"/>
      </w:pPr>
      <w:r>
        <w:rPr>
          <w:rFonts w:ascii="Arial" w:hAnsi="Arial"/>
        </w:rPr>
        <w:t>Development-demo notice and placeholder policy links</w:t>
      </w:r>
    </w:p>
    <w:p>
      <w:pPr>
        <w:pStyle w:val="Heading2"/>
        <w:keepNext/>
      </w:pPr>
      <w:r>
        <w:t>Patient Navigation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Area</w:t>
            </w:r>
          </w:p>
        </w:tc>
        <w:tc>
          <w:tcPr>
            <w:tcW w:type="dxa" w:w="7560"/>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Purpose</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Dashboard</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Review recent reports, appointments, medicines, and alerts.</w:t>
            </w:r>
          </w:p>
        </w:tc>
      </w:tr>
      <w:tr>
        <w:trPr>
          <w:cantSplit/>
        </w:trPr>
        <w:tc>
          <w:tcPr>
            <w:tcW w:type="dxa" w:w="208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Timeline</w:t>
            </w:r>
          </w:p>
        </w:tc>
        <w:tc>
          <w:tcPr>
            <w:tcW w:type="dxa" w:w="75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Browse events from birth to the present by life stage and exact age.</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Reports</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Search, filter, open, upload, and review medical documents.</w:t>
            </w:r>
          </w:p>
        </w:tc>
      </w:tr>
      <w:tr>
        <w:trPr>
          <w:cantSplit/>
        </w:trPr>
        <w:tc>
          <w:tcPr>
            <w:tcW w:type="dxa" w:w="208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Sharing</w:t>
            </w:r>
          </w:p>
        </w:tc>
        <w:tc>
          <w:tcPr>
            <w:tcW w:type="dxa" w:w="75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Choose records, permissions, recipients, and access duration.</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Activity</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Review access, downloads, corrections, and contributions.</w:t>
            </w:r>
          </w:p>
        </w:tc>
      </w:tr>
      <w:tr>
        <w:trPr>
          <w:cantSplit/>
        </w:trPr>
        <w:tc>
          <w:tcPr>
            <w:tcW w:type="dxa" w:w="208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Profiles</w:t>
            </w:r>
          </w:p>
        </w:tc>
        <w:tc>
          <w:tcPr>
            <w:tcW w:type="dxa" w:w="75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Switch between the patient and authorized dependent profiles.</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Settings</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Manage preferences and see future language options.</w:t>
            </w:r>
          </w:p>
        </w:tc>
      </w:tr>
    </w:tbl>
    <w:p>
      <w:pPr>
        <w:spacing w:after="60"/>
      </w:pPr>
    </w:p>
    <w:p>
      <w:pPr>
        <w:pStyle w:val="Heading2"/>
        <w:keepNext/>
      </w:pPr>
      <w:r>
        <w:t>Doctor Navigation</w:t>
      </w:r>
    </w:p>
    <w:p>
      <w:pPr>
        <w:pStyle w:val="ListBullet"/>
        <w:spacing w:after="60" w:line="259" w:lineRule="auto"/>
      </w:pPr>
      <w:r>
        <w:rPr>
          <w:rFonts w:ascii="Arial" w:hAnsi="Arial"/>
        </w:rPr>
        <w:t>Verification status</w:t>
      </w:r>
    </w:p>
    <w:p>
      <w:pPr>
        <w:pStyle w:val="ListBullet"/>
        <w:spacing w:after="60" w:line="259" w:lineRule="auto"/>
      </w:pPr>
      <w:r>
        <w:rPr>
          <w:rFonts w:ascii="Arial" w:hAnsi="Arial"/>
        </w:rPr>
        <w:t>Access requests</w:t>
      </w:r>
    </w:p>
    <w:p>
      <w:pPr>
        <w:pStyle w:val="ListBullet"/>
        <w:spacing w:after="60" w:line="259" w:lineRule="auto"/>
      </w:pPr>
      <w:r>
        <w:rPr>
          <w:rFonts w:ascii="Arial" w:hAnsi="Arial"/>
        </w:rPr>
        <w:t>Authorized patients</w:t>
      </w:r>
    </w:p>
    <w:p>
      <w:pPr>
        <w:pStyle w:val="ListBullet"/>
        <w:spacing w:after="60" w:line="259" w:lineRule="auto"/>
      </w:pPr>
      <w:r>
        <w:rPr>
          <w:rFonts w:ascii="Arial" w:hAnsi="Arial"/>
        </w:rPr>
        <w:t>Patient timeline and reports</w:t>
      </w:r>
    </w:p>
    <w:p>
      <w:pPr>
        <w:pStyle w:val="ListBullet"/>
        <w:spacing w:after="60" w:line="259" w:lineRule="auto"/>
      </w:pPr>
      <w:r>
        <w:rPr>
          <w:rFonts w:ascii="Arial" w:hAnsi="Arial"/>
        </w:rPr>
        <w:t>Report upload</w:t>
      </w:r>
    </w:p>
    <w:p>
      <w:pPr>
        <w:pStyle w:val="ListBullet"/>
        <w:spacing w:after="60" w:line="259" w:lineRule="auto"/>
      </w:pPr>
      <w:r>
        <w:rPr>
          <w:rFonts w:ascii="Arial" w:hAnsi="Arial"/>
        </w:rPr>
        <w:t>Prescription, diagnosis, and clinical-note contribution</w:t>
      </w:r>
    </w:p>
    <w:p>
      <w:pPr>
        <w:pStyle w:val="Heading1"/>
        <w:keepNext/>
      </w:pPr>
      <w:r>
        <w:t>Medical Records</w:t>
      </w:r>
    </w:p>
    <w:p>
      <w:pPr>
        <w:pStyle w:val="Heading2"/>
        <w:keepNext/>
      </w:pPr>
      <w:r>
        <w:t>Timeline Model</w:t>
      </w:r>
    </w:p>
    <w:p>
      <w:pPr>
        <w:spacing w:after="140" w:line="269" w:lineRule="auto"/>
      </w:pPr>
      <w:r>
        <w:rPr>
          <w:rFonts w:ascii="Arial" w:hAnsi="Arial"/>
          <w:i w:val="0"/>
        </w:rPr>
        <w:t>Age is the main organization method. The timeline begins at birth and continues to the current date. Every medical event shows both the calendar date and the patient's exact age when the event occurred.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Life stage</w:t>
            </w:r>
          </w:p>
        </w:tc>
        <w:tc>
          <w:tcPr>
            <w:tcW w:type="dxa" w:w="1944"/>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Age range</w:t>
            </w:r>
          </w:p>
        </w:tc>
        <w:tc>
          <w:tcPr>
            <w:tcW w:type="dxa" w:w="547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Display purpose</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Infancy</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Birth through 2</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Early health, growth, and vaccination records</w:t>
            </w:r>
          </w:p>
        </w:tc>
      </w:tr>
      <w:tr>
        <w:trPr>
          <w:cantSplit/>
        </w:trPr>
        <w:tc>
          <w:tcPr>
            <w:tcW w:type="dxa" w:w="223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Early childhood</w:t>
            </w:r>
          </w:p>
        </w:tc>
        <w:tc>
          <w:tcPr>
            <w:tcW w:type="dxa" w:w="194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3 through 5</w:t>
            </w:r>
          </w:p>
        </w:tc>
        <w:tc>
          <w:tcPr>
            <w:tcW w:type="dxa" w:w="547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Preschool health and treatment history</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Childhood</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6 through 12</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School-age health history</w:t>
            </w:r>
          </w:p>
        </w:tc>
      </w:tr>
      <w:tr>
        <w:trPr>
          <w:cantSplit/>
        </w:trPr>
        <w:tc>
          <w:tcPr>
            <w:tcW w:type="dxa" w:w="223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Adolescence</w:t>
            </w:r>
          </w:p>
        </w:tc>
        <w:tc>
          <w:tcPr>
            <w:tcW w:type="dxa" w:w="194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13 through 17</w:t>
            </w:r>
          </w:p>
        </w:tc>
        <w:tc>
          <w:tcPr>
            <w:tcW w:type="dxa" w:w="547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Teenage health history</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Adulthood</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18 onward</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Adult medical history</w:t>
            </w:r>
          </w:p>
        </w:tc>
      </w:tr>
    </w:tbl>
    <w:p>
      <w:pPr>
        <w:spacing w:after="60"/>
      </w:pPr>
    </w:p>
    <w:p>
      <w:pPr>
        <w:pStyle w:val="Heading2"/>
        <w:keepNext/>
      </w:pPr>
      <w:r>
        <w:t>Report Metadata</w:t>
      </w:r>
    </w:p>
    <w:p>
      <w:pPr>
        <w:pStyle w:val="ListBullet"/>
        <w:spacing w:after="60" w:line="259" w:lineRule="auto"/>
      </w:pPr>
      <w:r>
        <w:rPr>
          <w:rFonts w:ascii="Arial" w:hAnsi="Arial"/>
        </w:rPr>
        <w:t>Report title and type</w:t>
      </w:r>
    </w:p>
    <w:p>
      <w:pPr>
        <w:pStyle w:val="ListBullet"/>
        <w:spacing w:after="60" w:line="259" w:lineRule="auto"/>
      </w:pPr>
      <w:r>
        <w:rPr>
          <w:rFonts w:ascii="Arial" w:hAnsi="Arial"/>
        </w:rPr>
        <w:t>Date and patient age</w:t>
      </w:r>
    </w:p>
    <w:p>
      <w:pPr>
        <w:pStyle w:val="ListBullet"/>
        <w:spacing w:after="60" w:line="259" w:lineRule="auto"/>
      </w:pPr>
      <w:r>
        <w:rPr>
          <w:rFonts w:ascii="Arial" w:hAnsi="Arial"/>
        </w:rPr>
        <w:t>Doctor and hospital or clinic</w:t>
      </w:r>
    </w:p>
    <w:p>
      <w:pPr>
        <w:pStyle w:val="ListBullet"/>
        <w:spacing w:after="60" w:line="259" w:lineRule="auto"/>
      </w:pPr>
      <w:r>
        <w:rPr>
          <w:rFonts w:ascii="Arial" w:hAnsi="Arial"/>
        </w:rPr>
        <w:t>Specialty</w:t>
      </w:r>
    </w:p>
    <w:p>
      <w:pPr>
        <w:pStyle w:val="ListBullet"/>
        <w:spacing w:after="60" w:line="259" w:lineRule="auto"/>
      </w:pPr>
      <w:r>
        <w:rPr>
          <w:rFonts w:ascii="Arial" w:hAnsi="Arial"/>
        </w:rPr>
        <w:t>Condition or tags</w:t>
      </w:r>
    </w:p>
    <w:p>
      <w:pPr>
        <w:pStyle w:val="ListBullet"/>
        <w:spacing w:after="60" w:line="259" w:lineRule="auto"/>
      </w:pPr>
      <w:r>
        <w:rPr>
          <w:rFonts w:ascii="Arial" w:hAnsi="Arial"/>
        </w:rPr>
        <w:t>Source of the report</w:t>
      </w:r>
    </w:p>
    <w:p>
      <w:pPr>
        <w:pStyle w:val="ListBullet"/>
        <w:spacing w:after="60" w:line="259" w:lineRule="auto"/>
      </w:pPr>
      <w:r>
        <w:rPr>
          <w:rFonts w:ascii="Arial" w:hAnsi="Arial"/>
        </w:rPr>
        <w:t>Sharing status</w:t>
      </w:r>
    </w:p>
    <w:p>
      <w:pPr>
        <w:pStyle w:val="Heading2"/>
        <w:keepNext/>
      </w:pPr>
      <w:r>
        <w:t>Report Types</w:t>
      </w:r>
    </w:p>
    <w:p>
      <w:pPr>
        <w:spacing w:after="140" w:line="269" w:lineRule="auto"/>
      </w:pPr>
      <w:r>
        <w:rPr>
          <w:rFonts w:ascii="Arial" w:hAnsi="Arial"/>
          <w:i w:val="0"/>
        </w:rPr>
        <w:t>The fictional dataset should include prescriptions, laboratory reports, imaging reports, discharge summaries, vaccination records, diagnoses, allergy records, procedure records, and general clinical documents.</w:t>
      </w:r>
    </w:p>
    <w:p>
      <w:pPr>
        <w:pStyle w:val="Heading2"/>
        <w:keepNext/>
      </w:pPr>
      <w:r>
        <w:t>Finding a Record</w:t>
      </w:r>
    </w:p>
    <w:p>
      <w:pPr>
        <w:spacing w:after="140" w:line="269" w:lineRule="auto"/>
      </w:pPr>
      <w:r>
        <w:rPr>
          <w:rFonts w:ascii="Arial" w:hAnsi="Arial"/>
          <w:i w:val="0"/>
        </w:rPr>
        <w:t>Users can search report titles and related metadata, sort by age or date, and combine filters for doctor, hospital, specialty, condition, report type, and dependent profile. A Clear all action must restore the complete timeline.</w:t>
      </w:r>
    </w:p>
    <w:p>
      <w:pPr>
        <w:pStyle w:val="Heading2"/>
        <w:keepNext/>
      </w:pPr>
      <w:r>
        <w:t>Upload and Extraction Simulation</w:t>
      </w:r>
    </w:p>
    <w:p>
      <w:pPr>
        <w:spacing w:after="80"/>
        <w:ind w:left="346" w:hanging="346"/>
      </w:pPr>
      <w:r>
        <w:rPr>
          <w:rFonts w:ascii="Arial" w:hAnsi="Arial"/>
        </w:rPr>
        <w:t>1.  The patient selects a sample PDF or image.</w:t>
      </w:r>
    </w:p>
    <w:p>
      <w:pPr>
        <w:spacing w:after="80"/>
        <w:ind w:left="346" w:hanging="346"/>
      </w:pPr>
      <w:r>
        <w:rPr>
          <w:rFonts w:ascii="Arial" w:hAnsi="Arial"/>
        </w:rPr>
        <w:t>2.  The interface shows a simulated processing state.</w:t>
      </w:r>
    </w:p>
    <w:p>
      <w:pPr>
        <w:spacing w:after="80"/>
        <w:ind w:left="346" w:hanging="346"/>
      </w:pPr>
      <w:r>
        <w:rPr>
          <w:rFonts w:ascii="Arial" w:hAnsi="Arial"/>
        </w:rPr>
        <w:t>3.  The demo populates fictional extracted fields.</w:t>
      </w:r>
    </w:p>
    <w:p>
      <w:pPr>
        <w:spacing w:after="80"/>
        <w:ind w:left="346" w:hanging="346"/>
      </w:pPr>
      <w:r>
        <w:rPr>
          <w:rFonts w:ascii="Arial" w:hAnsi="Arial"/>
        </w:rPr>
        <w:t>4.  The patient reviews and corrects the fields.</w:t>
      </w:r>
    </w:p>
    <w:p>
      <w:pPr>
        <w:spacing w:after="80"/>
        <w:ind w:left="346" w:hanging="346"/>
      </w:pPr>
      <w:r>
        <w:rPr>
          <w:rFonts w:ascii="Arial" w:hAnsi="Arial"/>
        </w:rPr>
        <w:t>5.  The original preview remains unchanged.</w:t>
      </w:r>
    </w:p>
    <w:p>
      <w:pPr>
        <w:spacing w:after="80"/>
        <w:ind w:left="346" w:hanging="346"/>
      </w:pPr>
      <w:r>
        <w:rPr>
          <w:rFonts w:ascii="Arial" w:hAnsi="Arial"/>
        </w:rPr>
        <w:t>6.  The corrected metadata appears in the local demo timeline. The screen states that extraction is simulated and that medical details should be verified against the original document.</w:t>
      </w:r>
    </w:p>
    <w:p>
      <w:pPr>
        <w:pStyle w:val="Heading1"/>
        <w:keepNext/>
      </w:pPr>
      <w:r>
        <w:t>Sharing and Consent</w:t>
      </w:r>
    </w:p>
    <w:p>
      <w:pPr>
        <w:pStyle w:val="Heading2"/>
        <w:keepNext/>
      </w:pPr>
      <w:r>
        <w:t>Sharing Scope</w:t>
      </w:r>
    </w:p>
    <w:p>
      <w:pPr>
        <w:spacing w:after="140" w:line="269" w:lineRule="auto"/>
      </w:pPr>
      <w:r>
        <w:rPr>
          <w:rFonts w:ascii="Arial" w:hAnsi="Arial"/>
          <w:i w:val="0"/>
        </w:rPr>
        <w:t>A patient may share one report, selected records, or the complete history. Sensitive records remain excluded from broad sharing unless the patient deliberately includes them.</w:t>
      </w:r>
    </w:p>
    <w:p>
      <w:pPr>
        <w:pStyle w:val="Heading2"/>
        <w:keepNext/>
      </w:pPr>
      <w:r>
        <w:t>Sharing Methods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Method</w:t>
            </w:r>
          </w:p>
        </w:tc>
        <w:tc>
          <w:tcPr>
            <w:tcW w:type="dxa" w:w="727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Version 0.1.1 behavior</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QR code</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Display a non-public demonstration code and recipient confirmation.</w:t>
            </w:r>
          </w:p>
        </w:tc>
      </w:tr>
      <w:tr>
        <w:trPr>
          <w:cantSplit/>
        </w:trPr>
        <w:tc>
          <w:tcPr>
            <w:tcW w:type="dxa" w:w="237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Time-limited link</w:t>
            </w:r>
          </w:p>
        </w:tc>
        <w:tc>
          <w:tcPr>
            <w:tcW w:type="dxa" w:w="727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Generate a local demo state rather than a public URL.</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Doctor invitation</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Select a fictional verified doctor from demo data.</w:t>
            </w:r>
          </w:p>
        </w:tc>
      </w:tr>
      <w:tr>
        <w:trPr>
          <w:cantSplit/>
        </w:trPr>
        <w:tc>
          <w:tcPr>
            <w:tcW w:type="dxa" w:w="237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Clinic request</w:t>
            </w:r>
          </w:p>
        </w:tc>
        <w:tc>
          <w:tcPr>
            <w:tcW w:type="dxa" w:w="727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Accept or decline a fictional reception request.</w:t>
            </w:r>
          </w:p>
        </w:tc>
      </w:tr>
    </w:tbl>
    <w:p>
      <w:pPr>
        <w:spacing w:after="60"/>
      </w:pPr>
    </w:p>
    <w:p>
      <w:pPr>
        <w:pStyle w:val="Heading2"/>
        <w:keepNext/>
      </w:pPr>
      <w:r>
        <w:t>Permission Levels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37A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Permission</w:t>
            </w:r>
          </w:p>
        </w:tc>
        <w:tc>
          <w:tcPr>
            <w:tcW w:type="dxa" w:w="7056"/>
            <w:shd w:fill="237A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Recipient capability</w:t>
            </w:r>
          </w:p>
        </w:tc>
      </w:tr>
      <w:tr>
        <w:trPr>
          <w:cantSplit/>
        </w:trP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View only</w:t>
            </w:r>
          </w:p>
        </w:tc>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View the selected information until access expires or is revoked.</w:t>
            </w:r>
          </w:p>
        </w:tc>
      </w:tr>
      <w:tr>
        <w:trPr>
          <w:cantSplit/>
        </w:trPr>
        <w:tc>
          <w:tcPr>
            <w:tcW w:type="dxa" w:w="259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View and contribute</w:t>
            </w:r>
          </w:p>
        </w:tc>
        <w:tc>
          <w:tcPr>
            <w:tcW w:type="dxa" w:w="705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View permitted records and add reports, prescriptions, diagnoses, or notes.</w:t>
            </w:r>
          </w:p>
        </w:tc>
      </w:tr>
    </w:tbl>
    <w:p>
      <w:pPr>
        <w:spacing w:after="60"/>
      </w:pPr>
    </w:p>
    <w:p>
      <w:pPr>
        <w:pStyle w:val="Heading2"/>
        <w:keepNext/>
      </w:pPr>
      <w:r>
        <w:t>Access Duration</w:t>
      </w:r>
    </w:p>
    <w:p>
      <w:pPr>
        <w:pStyle w:val="ListBullet"/>
        <w:spacing w:after="60" w:line="259" w:lineRule="auto"/>
      </w:pPr>
      <w:r>
        <w:rPr>
          <w:rFonts w:ascii="Arial" w:hAnsi="Arial"/>
        </w:rPr>
        <w:t>One consultation</w:t>
      </w:r>
    </w:p>
    <w:p>
      <w:pPr>
        <w:pStyle w:val="ListBullet"/>
        <w:spacing w:after="60" w:line="259" w:lineRule="auto"/>
      </w:pPr>
      <w:r>
        <w:rPr>
          <w:rFonts w:ascii="Arial" w:hAnsi="Arial"/>
        </w:rPr>
        <w:t>24 hours</w:t>
      </w:r>
    </w:p>
    <w:p>
      <w:pPr>
        <w:pStyle w:val="ListBullet"/>
        <w:spacing w:after="60" w:line="259" w:lineRule="auto"/>
      </w:pPr>
      <w:r>
        <w:rPr>
          <w:rFonts w:ascii="Arial" w:hAnsi="Arial"/>
        </w:rPr>
        <w:t>7 days</w:t>
      </w:r>
    </w:p>
    <w:p>
      <w:pPr>
        <w:pStyle w:val="ListBullet"/>
        <w:spacing w:after="60" w:line="259" w:lineRule="auto"/>
      </w:pPr>
      <w:r>
        <w:rPr>
          <w:rFonts w:ascii="Arial" w:hAnsi="Arial"/>
        </w:rPr>
        <w:t>A custom expiry date</w:t>
      </w:r>
    </w:p>
    <w:p>
      <w:pPr>
        <w:pStyle w:val="ListBullet"/>
        <w:spacing w:after="60" w:line="259" w:lineRule="auto"/>
      </w:pPr>
      <w:r>
        <w:rPr>
          <w:rFonts w:ascii="Arial" w:hAnsi="Arial"/>
        </w:rPr>
        <w:t>Until manually revoked</w:t>
      </w:r>
    </w:p>
    <w:p>
      <w:pPr>
        <w:pStyle w:val="ListBullet"/>
        <w:spacing w:after="60" w:line="259" w:lineRule="auto"/>
      </w:pPr>
      <w:r>
        <w:rPr>
          <w:rFonts w:ascii="Arial" w:hAnsi="Arial"/>
        </w:rPr>
        <w:t>Until a doctor closes an episode of care and the patient confirms closure</w:t>
      </w:r>
    </w:p>
    <w:p>
      <w:pPr>
        <w:pStyle w:val="Heading2"/>
        <w:keepNext/>
      </w:pPr>
      <w:r>
        <w:t>Activity History</w:t>
      </w:r>
    </w:p>
    <w:p>
      <w:pPr>
        <w:spacing w:after="140" w:line="269" w:lineRule="auto"/>
      </w:pPr>
      <w:r>
        <w:rPr>
          <w:rFonts w:ascii="Arial" w:hAnsi="Arial"/>
          <w:i w:val="0"/>
        </w:rPr>
        <w:t>The activity log records the actor, action, target, and time for report views, uploads, downloads, metadata corrections, access grants, access revocations, and clinical contributions. It demonstrates transparency but is not described as a production-grade legal audit trail.</w:t>
      </w:r>
    </w:p>
    <w:p>
      <w:pPr>
        <w:pStyle w:val="Heading1"/>
        <w:keepNext/>
      </w:pPr>
      <w:r>
        <w:t>Doctor Verification and Clinical Contribution</w:t>
      </w:r>
    </w:p>
    <w:p>
      <w:pPr>
        <w:pStyle w:val="Heading2"/>
        <w:keepNext/>
      </w:pPr>
      <w:r>
        <w:t>Verification Design</w:t>
      </w:r>
    </w:p>
    <w:p>
      <w:pPr>
        <w:spacing w:after="80"/>
        <w:ind w:left="346" w:hanging="346"/>
      </w:pPr>
      <w:r>
        <w:rPr>
          <w:rFonts w:ascii="Arial" w:hAnsi="Arial"/>
        </w:rPr>
        <w:t>1.  Verify the doctor's phone number and email.</w:t>
      </w:r>
    </w:p>
    <w:p>
      <w:pPr>
        <w:spacing w:after="80"/>
        <w:ind w:left="346" w:hanging="346"/>
      </w:pPr>
      <w:r>
        <w:rPr>
          <w:rFonts w:ascii="Arial" w:hAnsi="Arial"/>
        </w:rPr>
        <w:t>2.  Collect the medical registration number and State Medical Council.</w:t>
      </w:r>
    </w:p>
    <w:p>
      <w:pPr>
        <w:spacing w:after="80"/>
        <w:ind w:left="346" w:hanging="346"/>
      </w:pPr>
      <w:r>
        <w:rPr>
          <w:rFonts w:ascii="Arial" w:hAnsi="Arial"/>
        </w:rPr>
        <w:t>3.  Compare the submitted details with the National Medical Commission or Indian Medical Register.</w:t>
      </w:r>
    </w:p>
    <w:p>
      <w:pPr>
        <w:spacing w:after="80"/>
        <w:ind w:left="346" w:hanging="346"/>
      </w:pPr>
      <w:r>
        <w:rPr>
          <w:rFonts w:ascii="Arial" w:hAnsi="Arial"/>
        </w:rPr>
        <w:t>4.  Request professional identification when registry matching is unavailable.</w:t>
      </w:r>
    </w:p>
    <w:p>
      <w:pPr>
        <w:spacing w:after="80"/>
        <w:ind w:left="346" w:hanging="346"/>
      </w:pPr>
      <w:r>
        <w:rPr>
          <w:rFonts w:ascii="Arial" w:hAnsi="Arial"/>
        </w:rPr>
        <w:t>5.  Route uncertain cases to a platform administrator for manual review.</w:t>
      </w:r>
    </w:p>
    <w:p>
      <w:pPr>
        <w:spacing w:after="80"/>
        <w:ind w:left="346" w:hanging="346"/>
      </w:pPr>
      <w:r>
        <w:rPr>
          <w:rFonts w:ascii="Arial" w:hAnsi="Arial"/>
        </w:rPr>
        <w:t>6.  Optionally confirm clinic or hospital affiliation.</w:t>
      </w:r>
    </w:p>
    <w:p>
      <w:pPr>
        <w:spacing w:after="80"/>
        <w:ind w:left="346" w:hanging="346"/>
      </w:pPr>
      <w:r>
        <w:rPr>
          <w:rFonts w:ascii="Arial" w:hAnsi="Arial"/>
        </w:rPr>
        <w:t>7.  Display a Verified Doctor badge only after approval.</w:t>
      </w:r>
    </w:p>
    <w:p>
      <w:pPr>
        <w:spacing w:after="140" w:line="269" w:lineRule="auto"/>
      </w:pPr>
      <w:r>
        <w:rPr>
          <w:rFonts w:ascii="Arial" w:hAnsi="Arial"/>
          <w:i w:val="0"/>
        </w:rPr>
        <w:t>The National Medical Commission registry supports searches using doctor name, qualification, registration year, registration number, and registered council. The registry also states that its data is being updated. A future production workflow should therefore combine registry checks with manual review rather than treating a single automated match as final proof.</w:t>
      </w:r>
    </w:p>
    <w:p>
      <w:pPr>
        <w:spacing w:after="140" w:line="269" w:lineRule="auto"/>
      </w:pPr>
      <w:r>
        <w:rPr>
          <w:rFonts w:ascii="Arial" w:hAnsi="Arial"/>
          <w:i w:val="0"/>
        </w:rPr>
        <w:t>Reference: National Medical Commission Indian Medical Register, https://nmc.org.in/information-desk/indian-medical-register</w:t>
      </w:r>
    </w:p>
    <w:p>
      <w:pPr>
        <w:pStyle w:val="Heading2"/>
        <w:keepNext/>
      </w:pPr>
      <w:r>
        <w:t>Doctor Experience</w:t>
      </w:r>
    </w:p>
    <w:p>
      <w:pPr>
        <w:spacing w:after="140" w:line="269" w:lineRule="auto"/>
      </w:pPr>
      <w:r>
        <w:rPr>
          <w:rFonts w:ascii="Arial" w:hAnsi="Arial"/>
          <w:i w:val="0"/>
        </w:rPr>
        <w:t>The doctor sees only patients who have granted access. Every patient view shows the active permission, included record scope, and expiry. Contribution controls remain unavailable when access is view-only.</w:t>
      </w:r>
    </w:p>
    <w:p>
      <w:pPr>
        <w:pStyle w:val="Heading2"/>
        <w:keepNext/>
      </w:pPr>
      <w:r>
        <w:t>Contributions</w:t>
      </w:r>
    </w:p>
    <w:p>
      <w:pPr>
        <w:pStyle w:val="ListBullet"/>
        <w:spacing w:after="60" w:line="259" w:lineRule="auto"/>
      </w:pPr>
      <w:r>
        <w:rPr>
          <w:rFonts w:ascii="Arial" w:hAnsi="Arial"/>
        </w:rPr>
        <w:t>Upload a new report</w:t>
      </w:r>
    </w:p>
    <w:p>
      <w:pPr>
        <w:pStyle w:val="ListBullet"/>
        <w:spacing w:after="60" w:line="259" w:lineRule="auto"/>
      </w:pPr>
      <w:r>
        <w:rPr>
          <w:rFonts w:ascii="Arial" w:hAnsi="Arial"/>
        </w:rPr>
        <w:t>Write a prescription</w:t>
      </w:r>
    </w:p>
    <w:p>
      <w:pPr>
        <w:pStyle w:val="ListBullet"/>
        <w:spacing w:after="60" w:line="259" w:lineRule="auto"/>
      </w:pPr>
      <w:r>
        <w:rPr>
          <w:rFonts w:ascii="Arial" w:hAnsi="Arial"/>
        </w:rPr>
        <w:t>Add a diagnosis</w:t>
      </w:r>
    </w:p>
    <w:p>
      <w:pPr>
        <w:pStyle w:val="ListBullet"/>
        <w:spacing w:after="60" w:line="259" w:lineRule="auto"/>
      </w:pPr>
      <w:r>
        <w:rPr>
          <w:rFonts w:ascii="Arial" w:hAnsi="Arial"/>
        </w:rPr>
        <w:t>Add a clinical note</w:t>
      </w:r>
    </w:p>
    <w:p>
      <w:pPr>
        <w:spacing w:after="140" w:line="269" w:lineRule="auto"/>
      </w:pPr>
      <w:r>
        <w:rPr>
          <w:rFonts w:ascii="Arial" w:hAnsi="Arial"/>
          <w:i w:val="0"/>
        </w:rPr>
        <w:t>Each contribution identifies its author and time. The patient can see it in the timeline and activity history. Version 0.1.1 uses fictional data and does not support signatures or clinical orders.</w:t>
      </w:r>
    </w:p>
    <w:p>
      <w:pPr>
        <w:pStyle w:val="Heading1"/>
        <w:keepNext/>
      </w:pPr>
      <w:r>
        <w:t>Brand and Interface Direction</w:t>
      </w:r>
    </w:p>
    <w:p>
      <w:pPr>
        <w:pStyle w:val="Heading2"/>
        <w:keepNext/>
      </w:pPr>
      <w:r>
        <w:t>Brand Character</w:t>
      </w:r>
    </w:p>
    <w:p>
      <w:pPr>
        <w:spacing w:after="140" w:line="269" w:lineRule="auto"/>
      </w:pPr>
      <w:r>
        <w:rPr>
          <w:rFonts w:ascii="Arial" w:hAnsi="Arial"/>
          <w:i w:val="0"/>
        </w:rPr>
        <w:t>The interface should feel modern, warm, human, and professional. It should avoid both a cold institutional appearance and an informal wellness aesthetic. Clear typography, restrained shapes, and generous space should make complex records easier to scan.</w:t>
      </w:r>
    </w:p>
    <w:p>
      <w:pPr>
        <w:pStyle w:val="Heading2"/>
        <w:keepNext/>
      </w:pPr>
      <w:r>
        <w:t>Approved Color Palette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Role</w:t>
            </w:r>
          </w:p>
        </w:tc>
        <w:tc>
          <w:tcPr>
            <w:tcW w:type="dxa" w:w="2016"/>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Name</w:t>
            </w:r>
          </w:p>
        </w:tc>
        <w:tc>
          <w:tcPr>
            <w:tcW w:type="dxa" w:w="151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Hex</w:t>
            </w:r>
          </w:p>
        </w:tc>
        <w:tc>
          <w:tcPr>
            <w:tcW w:type="dxa" w:w="4608"/>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Primary use</w:t>
            </w:r>
          </w:p>
        </w:tc>
      </w:tr>
      <w:tr>
        <w:trPr>
          <w:cantSplit/>
        </w:trPr>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Primary</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Trust blue</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#2563EB</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Navigation and primary actions</w:t>
            </w:r>
          </w:p>
        </w:tc>
      </w:tr>
      <w:tr>
        <w:trPr>
          <w:cantSplit/>
        </w:trPr>
        <w:tc>
          <w:tcPr>
            <w:tcW w:type="dxa" w:w="15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Secondary</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Healthcare green</w:t>
            </w:r>
          </w:p>
        </w:tc>
        <w:tc>
          <w:tcPr>
            <w:tcW w:type="dxa" w:w="15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#237A57</w:t>
            </w:r>
          </w:p>
        </w:tc>
        <w:tc>
          <w:tcPr>
            <w:tcW w:type="dxa" w:w="460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Verified and positive states</w:t>
            </w:r>
          </w:p>
        </w:tc>
      </w:tr>
      <w:tr>
        <w:trPr>
          <w:cantSplit/>
        </w:trPr>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Surface</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Soft sky</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#EAF4FF</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Informational backgrounds</w:t>
            </w:r>
          </w:p>
        </w:tc>
      </w:tr>
      <w:tr>
        <w:trPr>
          <w:cantSplit/>
        </w:trPr>
        <w:tc>
          <w:tcPr>
            <w:tcW w:type="dxa" w:w="15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Surface</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Warm cream</w:t>
            </w:r>
          </w:p>
        </w:tc>
        <w:tc>
          <w:tcPr>
            <w:tcW w:type="dxa" w:w="15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#FFF9F0</w:t>
            </w:r>
          </w:p>
        </w:tc>
        <w:tc>
          <w:tcPr>
            <w:tcW w:type="dxa" w:w="460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Warm secondary backgrounds</w:t>
            </w:r>
          </w:p>
        </w:tc>
      </w:tr>
      <w:tr>
        <w:trPr>
          <w:cantSplit/>
        </w:trPr>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Text</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Charcoal</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#27332D</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Primary text</w:t>
            </w:r>
          </w:p>
        </w:tc>
      </w:tr>
      <w:tr>
        <w:trPr>
          <w:cantSplit/>
        </w:trPr>
        <w:tc>
          <w:tcPr>
            <w:tcW w:type="dxa" w:w="15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Accent</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Soft coral</w:t>
            </w:r>
          </w:p>
        </w:tc>
        <w:tc>
          <w:tcPr>
            <w:tcW w:type="dxa" w:w="15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#F28C7F</w:t>
            </w:r>
          </w:p>
        </w:tc>
        <w:tc>
          <w:tcPr>
            <w:tcW w:type="dxa" w:w="460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Alerts used with labels or icons</w:t>
            </w:r>
          </w:p>
        </w:tc>
      </w:tr>
      <w:tr>
        <w:trPr>
          <w:cantSplit/>
        </w:trPr>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Base</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White</w:t>
            </w:r>
          </w:p>
        </w:tc>
        <w:tc>
          <w:tcPr>
            <w:tcW w:type="dxa" w:w="15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#FFFFFF</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Main canvas and cards</w:t>
            </w:r>
          </w:p>
        </w:tc>
      </w:tr>
    </w:tbl>
    <w:p>
      <w:pPr>
        <w:spacing w:after="60"/>
      </w:pPr>
    </w:p>
    <w:p>
      <w:pPr>
        <w:pStyle w:val="Heading2"/>
        <w:keepNext/>
      </w:pPr>
      <w:r>
        <w:t>Logo System</w:t>
      </w:r>
    </w:p>
    <w:p>
      <w:pPr>
        <w:spacing w:after="140" w:line="269" w:lineRule="auto"/>
      </w:pPr>
      <w:r>
        <w:rPr>
          <w:rFonts w:ascii="Arial" w:hAnsi="Arial"/>
          <w:i w:val="0"/>
        </w:rPr>
        <w:t>The approved direction preserves the hand-drawn concept while improving symmetry, spacing, and recognition at small sizes. The system should include a refined winged medical-staff symbol with an HD monogram, a symbol-and-wordmark lockup, and a compact HD application icon.</w:t>
      </w:r>
    </w:p>
    <w:p>
      <w:pPr>
        <w:keepNext/>
        <w:spacing w:after="60"/>
        <w:jc w:val="center"/>
      </w:pPr>
      <w:r>
        <w:drawing>
          <wp:inline xmlns:a="http://schemas.openxmlformats.org/drawingml/2006/main" xmlns:pic="http://schemas.openxmlformats.org/drawingml/2006/picture">
            <wp:extent cx="2743200" cy="1816749"/>
            <wp:docPr id="2" name="Picture 2" descr="Hand-drawn compact Health Dossier logo concept with the letters H and D around a winged medical staff."/>
            <wp:cNvGraphicFramePr>
              <a:graphicFrameLocks noChangeAspect="1"/>
            </wp:cNvGraphicFramePr>
            <a:graphic>
              <a:graphicData uri="http://schemas.openxmlformats.org/drawingml/2006/picture">
                <pic:pic>
                  <pic:nvPicPr>
                    <pic:cNvPr id="0" name="codex-clipboard-4dbcbe6b-0045-4e36-abf9-64928e2ca046.jpg"/>
                    <pic:cNvPicPr/>
                  </pic:nvPicPr>
                  <pic:blipFill>
                    <a:blip r:embed="rId12"/>
                    <a:stretch>
                      <a:fillRect/>
                    </a:stretch>
                  </pic:blipFill>
                  <pic:spPr>
                    <a:xfrm>
                      <a:off x="0" y="0"/>
                      <a:ext cx="2743200" cy="1816749"/>
                    </a:xfrm>
                    <a:prstGeom prst="rect"/>
                  </pic:spPr>
                </pic:pic>
              </a:graphicData>
            </a:graphic>
          </wp:inline>
        </w:drawing>
      </w:r>
    </w:p>
    <w:p>
      <w:pPr>
        <w:pStyle w:val="CaptionSmall"/>
        <w:jc w:val="center"/>
      </w:pPr>
      <w:r>
        <w:t>Original compact logo sketch supplied for refinement</w:t>
      </w:r>
    </w:p>
    <w:p>
      <w:pPr>
        <w:keepNext/>
        <w:spacing w:after="60"/>
        <w:jc w:val="center"/>
      </w:pPr>
      <w:r>
        <w:drawing>
          <wp:inline xmlns:a="http://schemas.openxmlformats.org/drawingml/2006/main" xmlns:pic="http://schemas.openxmlformats.org/drawingml/2006/picture">
            <wp:extent cx="5029200" cy="1540166"/>
            <wp:docPr id="3" name="Picture 3" descr="Hand-drawn Health Dossier wordmark concept with a winged medical staff symbol."/>
            <wp:cNvGraphicFramePr>
              <a:graphicFrameLocks noChangeAspect="1"/>
            </wp:cNvGraphicFramePr>
            <a:graphic>
              <a:graphicData uri="http://schemas.openxmlformats.org/drawingml/2006/picture">
                <pic:pic>
                  <pic:nvPicPr>
                    <pic:cNvPr id="0" name="codex-clipboard-9921ef42-d1dc-40dc-8571-9e9e48440821.jpg"/>
                    <pic:cNvPicPr/>
                  </pic:nvPicPr>
                  <pic:blipFill>
                    <a:blip r:embed="rId11"/>
                    <a:stretch>
                      <a:fillRect/>
                    </a:stretch>
                  </pic:blipFill>
                  <pic:spPr>
                    <a:xfrm>
                      <a:off x="0" y="0"/>
                      <a:ext cx="5029200" cy="1540166"/>
                    </a:xfrm>
                    <a:prstGeom prst="rect"/>
                  </pic:spPr>
                </pic:pic>
              </a:graphicData>
            </a:graphic>
          </wp:inline>
        </w:drawing>
      </w:r>
    </w:p>
    <w:p>
      <w:pPr>
        <w:pStyle w:val="CaptionSmall"/>
        <w:jc w:val="center"/>
      </w:pPr>
      <w:r>
        <w:t>Original Health Dossier wordmark sketch supplied for refinement</w:t>
      </w:r>
    </w:p>
    <w:p>
      <w:pPr>
        <w:pStyle w:val="Heading2"/>
        <w:keepNext/>
      </w:pPr>
      <w:r>
        <w:t>Interface Standards</w:t>
      </w:r>
    </w:p>
    <w:p>
      <w:pPr>
        <w:pStyle w:val="ListBullet"/>
        <w:spacing w:after="60" w:line="259" w:lineRule="auto"/>
      </w:pPr>
      <w:r>
        <w:rPr>
          <w:rFonts w:ascii="Arial" w:hAnsi="Arial"/>
        </w:rPr>
        <w:t>Readable typography and clear visual hierarchy</w:t>
      </w:r>
    </w:p>
    <w:p>
      <w:pPr>
        <w:pStyle w:val="ListBullet"/>
        <w:spacing w:after="60" w:line="259" w:lineRule="auto"/>
      </w:pPr>
      <w:r>
        <w:rPr>
          <w:rFonts w:ascii="Arial" w:hAnsi="Arial"/>
        </w:rPr>
        <w:t>Restrained rounded cards and controls</w:t>
      </w:r>
    </w:p>
    <w:p>
      <w:pPr>
        <w:pStyle w:val="ListBullet"/>
        <w:spacing w:after="60" w:line="259" w:lineRule="auto"/>
      </w:pPr>
      <w:r>
        <w:rPr>
          <w:rFonts w:ascii="Arial" w:hAnsi="Arial"/>
        </w:rPr>
        <w:t>Large mobile touch targets and visible keyboard focus</w:t>
      </w:r>
    </w:p>
    <w:p>
      <w:pPr>
        <w:pStyle w:val="ListBullet"/>
        <w:spacing w:after="60" w:line="259" w:lineRule="auto"/>
      </w:pPr>
      <w:r>
        <w:rPr>
          <w:rFonts w:ascii="Arial" w:hAnsi="Arial"/>
        </w:rPr>
        <w:t>Icons paired with text for important statuses</w:t>
      </w:r>
    </w:p>
    <w:p>
      <w:pPr>
        <w:pStyle w:val="ListBullet"/>
        <w:spacing w:after="60" w:line="259" w:lineRule="auto"/>
      </w:pPr>
      <w:r>
        <w:rPr>
          <w:rFonts w:ascii="Arial" w:hAnsi="Arial"/>
        </w:rPr>
        <w:t>No dependence on color alone for warnings or permissions</w:t>
      </w:r>
    </w:p>
    <w:p>
      <w:pPr>
        <w:pStyle w:val="ListBullet"/>
        <w:spacing w:after="60" w:line="259" w:lineRule="auto"/>
      </w:pPr>
      <w:r>
        <w:rPr>
          <w:rFonts w:ascii="Arial" w:hAnsi="Arial"/>
        </w:rPr>
        <w:t>Light and dark modes with a saved browser preference throughout the public site and demo</w:t>
      </w:r>
    </w:p>
    <w:p>
      <w:pPr/>
      <w:r>
        <w:t>The dark palette uses deep green and blue surfaces with lighter text. The original-document preview remains visually unchanged, and the printed medical summary uses a light page for legibility.</w:t>
      </w:r>
    </w:p>
    <w:p>
      <w:pPr>
        <w:pStyle w:val="Heading2"/>
        <w:keepNext/>
      </w:pPr>
      <w:r>
        <w:t>Language</w:t>
      </w:r>
    </w:p>
    <w:p>
      <w:pPr>
        <w:spacing w:after="140" w:line="269" w:lineRule="auto"/>
      </w:pPr>
      <w:r>
        <w:rPr>
          <w:rFonts w:ascii="Arial" w:hAnsi="Arial"/>
          <w:i w:val="0"/>
        </w:rPr>
        <w:t>English is complete in Version 0.1.1. The interface should keep visible text separate from component logic so Telugu and Hindi can be added later. A language selector may identify those languages as planned, but it must not present incomplete translations as available.</w:t>
      </w:r>
    </w:p>
    <w:p>
      <w:pPr>
        <w:pStyle w:val="Heading1"/>
        <w:keepNext/>
      </w:pPr>
      <w:r>
        <w:t>Demo Data and Safety Boundaries</w:t>
      </w:r>
    </w:p>
    <w:p>
      <w:pPr>
        <w:pStyle w:val="Heading2"/>
        <w:keepNext/>
      </w:pPr>
      <w:r>
        <w:t>Required Warning</w:t>
      </w:r>
    </w:p>
    <w:p>
      <w:pPr>
        <w:spacing w:after="140" w:line="269" w:lineRule="auto"/>
      </w:pPr>
      <w:r>
        <w:rPr>
          <w:rFonts w:ascii="Arial" w:hAnsi="Arial"/>
          <w:i w:val="0"/>
        </w:rPr>
        <w:t>Authenticated demo areas must display this notice: Development demo. Do not upload real patient information.</w:t>
      </w:r>
    </w:p>
    <w:p>
      <w:pPr>
        <w:pStyle w:val="Heading2"/>
        <w:keepNext/>
      </w:pPr>
      <w:r>
        <w:t>Data Rules</w:t>
      </w:r>
    </w:p>
    <w:p>
      <w:pPr>
        <w:pStyle w:val="ListBullet"/>
        <w:spacing w:after="60" w:line="259" w:lineRule="auto"/>
      </w:pPr>
      <w:r>
        <w:rPr>
          <w:rFonts w:ascii="Arial" w:hAnsi="Arial"/>
        </w:rPr>
        <w:t>Use fictional people, dates, hospitals, doctors, registration numbers, and health information.</w:t>
      </w:r>
    </w:p>
    <w:p>
      <w:pPr>
        <w:pStyle w:val="ListBullet"/>
        <w:spacing w:after="60" w:line="259" w:lineRule="auto"/>
      </w:pPr>
      <w:r>
        <w:rPr>
          <w:rFonts w:ascii="Arial" w:hAnsi="Arial"/>
        </w:rPr>
        <w:t>Do not copy real reports into fixtures, screenshots, examples, or tests.</w:t>
      </w:r>
    </w:p>
    <w:p>
      <w:pPr>
        <w:pStyle w:val="ListBullet"/>
        <w:spacing w:after="60" w:line="259" w:lineRule="auto"/>
      </w:pPr>
      <w:r>
        <w:rPr>
          <w:rFonts w:ascii="Arial" w:hAnsi="Arial"/>
        </w:rPr>
        <w:t>Do not commit user-selected documents to the repository.</w:t>
      </w:r>
    </w:p>
    <w:p>
      <w:pPr>
        <w:pStyle w:val="ListBullet"/>
        <w:spacing w:after="60" w:line="259" w:lineRule="auto"/>
      </w:pPr>
      <w:r>
        <w:rPr>
          <w:rFonts w:ascii="Arial" w:hAnsi="Arial"/>
        </w:rPr>
        <w:t>Do not create publicly accessible health-sharing links.</w:t>
      </w:r>
    </w:p>
    <w:p>
      <w:pPr>
        <w:pStyle w:val="ListBullet"/>
        <w:spacing w:after="60" w:line="259" w:lineRule="auto"/>
      </w:pPr>
      <w:r>
        <w:rPr>
          <w:rFonts w:ascii="Arial" w:hAnsi="Arial"/>
        </w:rPr>
        <w:t>Use browser storage only for harmless demo preferences and fictional state changes.</w:t>
      </w:r>
    </w:p>
    <w:p>
      <w:pPr>
        <w:pStyle w:val="ListBullet"/>
        <w:spacing w:after="60" w:line="259" w:lineRule="auto"/>
      </w:pPr>
      <w:r>
        <w:rPr>
          <w:rFonts w:ascii="Arial" w:hAnsi="Arial"/>
        </w:rPr>
        <w:t>Do not claim compliance, certification, encryption, or clinical readiness.</w:t>
      </w:r>
    </w:p>
    <w:p>
      <w:pPr>
        <w:pStyle w:val="Heading2"/>
        <w:keepNext/>
      </w:pPr>
      <w:r>
        <w:t>Production Decisions Deferred</w:t>
      </w:r>
    </w:p>
    <w:p>
      <w:pPr>
        <w:spacing w:after="140" w:line="269" w:lineRule="auto"/>
      </w:pPr>
      <w:r>
        <w:rPr>
          <w:rFonts w:ascii="Arial" w:hAnsi="Arial"/>
          <w:i w:val="0"/>
        </w:rPr>
        <w:t>A production release will require separate decisions about hosting, data location, encryption, consent evidence, record retention, identity verification, access auditing, backups, breach response, hospital integration, privacy law, and clinical governance. Those decisions should be reviewed by qualified legal, security, privacy, and healthcare professionals before real data is accepted.</w:t>
      </w:r>
    </w:p>
    <w:p>
      <w:pPr>
        <w:pStyle w:val="Heading2"/>
        <w:keepNext/>
      </w:pPr>
      <w:r>
        <w:t>Required Interface States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State group</w:t>
            </w:r>
          </w:p>
        </w:tc>
        <w:tc>
          <w:tcPr>
            <w:tcW w:type="dxa" w:w="7416"/>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Examples</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Data</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Loading, empty list, and no search results</w:t>
            </w:r>
          </w:p>
        </w:tc>
      </w:tr>
      <w:tr>
        <w:trPr>
          <w:cantSplit/>
        </w:trPr>
        <w:tc>
          <w:tcPr>
            <w:tcW w:type="dxa" w:w="223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Upload</w:t>
            </w:r>
          </w:p>
        </w:tc>
        <w:tc>
          <w:tcPr>
            <w:tcW w:type="dxa" w:w="74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Processing, review required, completed, and failed</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Access</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Granted, expired, revoked, and permission denied</w:t>
            </w:r>
          </w:p>
        </w:tc>
      </w:tr>
      <w:tr>
        <w:trPr>
          <w:cantSplit/>
        </w:trPr>
        <w:tc>
          <w:tcPr>
            <w:tcW w:type="dxa" w:w="223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Verification</w:t>
            </w:r>
          </w:p>
        </w:tc>
        <w:tc>
          <w:tcPr>
            <w:tcW w:type="dxa" w:w="74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Not started, pending, approved, and needs review</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Connectivity</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Offline or action unavailable</w:t>
            </w:r>
          </w:p>
        </w:tc>
      </w:tr>
    </w:tbl>
    <w:p>
      <w:pPr>
        <w:spacing w:after="60"/>
      </w:pPr>
    </w:p>
    <w:p>
      <w:pPr>
        <w:pStyle w:val="Heading2"/>
        <w:keepNext/>
      </w:pPr>
      <w:r>
        <w:t>Accessibility</w:t>
      </w:r>
    </w:p>
    <w:p>
      <w:pPr>
        <w:spacing w:after="140" w:line="269" w:lineRule="auto"/>
      </w:pPr>
      <w:r>
        <w:rPr>
          <w:rFonts w:ascii="Arial" w:hAnsi="Arial"/>
          <w:i w:val="0"/>
        </w:rPr>
        <w:t>The web experience must work on phones, tablets, laptops, and desktop displays. The demo should use semantic structure, properly associated form labels, keyboard navigation, visible focus, informative alternative text, sufficient contrast, and status messages that remain understandable without color. Reports and filters must remain usable on narrow screens through stacked controls or a filter drawer, without horizontal scrolling.</w:t>
      </w:r>
    </w:p>
    <w:p>
      <w:pPr>
        <w:pStyle w:val="Heading1"/>
        <w:keepNext/>
      </w:pPr>
      <w:r>
        <w:t>Acceptance Criteria</w:t>
      </w:r>
    </w:p>
    <w:p>
      <w:pPr>
        <w:spacing w:after="140" w:line="269" w:lineRule="auto"/>
      </w:pPr>
      <w:r>
        <w:rPr>
          <w:rFonts w:ascii="Arial" w:hAnsi="Arial"/>
          <w:i w:val="0"/>
        </w:rPr>
        <w:t>Version 0.1.1 is ready for demonstration when every critical criterion below is satisfied.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ID</w:t>
            </w:r>
          </w:p>
        </w:tc>
        <w:tc>
          <w:tcPr>
            <w:tcW w:type="dxa" w:w="2016"/>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Area</w:t>
            </w:r>
          </w:p>
        </w:tc>
        <w:tc>
          <w:tcPr>
            <w:tcW w:type="dxa" w:w="655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Criterion</w:t>
            </w:r>
          </w:p>
        </w:tc>
      </w:tr>
      <w:tr>
        <w:trPr>
          <w:cantSplit/>
        </w:trP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01</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Local setup</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project runs locally from documented setup instructions.</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02</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Product explanation</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landing page explains the value and identifies the experience as a demo.</w:t>
            </w:r>
          </w:p>
        </w:tc>
      </w:tr>
      <w:tr>
        <w:trPr>
          <w:cantSplit/>
        </w:trP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03</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Role entry</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Patient, doctor, clinic or hospital, and platform-administrator paths are visible.</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04</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Safe simulation</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Authentication, verification, AI extraction, and external sharing are labeled as simulated.</w:t>
            </w:r>
          </w:p>
        </w:tc>
      </w:tr>
      <w:tr>
        <w:trPr>
          <w:cantSplit/>
        </w:trP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05</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Lifelong timeline</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 patient can browse fictional medical events from birth to the present.</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06</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Report discovery</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Search, sorting, and the agreed filters work together on sample data.</w:t>
            </w:r>
          </w:p>
        </w:tc>
      </w:tr>
      <w:tr>
        <w:trPr>
          <w:cantSplit/>
        </w:trP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07</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Upload flow</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 patient can select a sample report and complete simulated extraction review.</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08</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Correction</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patient can correct metadata without altering the original preview.</w:t>
            </w:r>
          </w:p>
        </w:tc>
      </w:tr>
      <w:tr>
        <w:trPr>
          <w:cantSplit/>
        </w:trP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09</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Sharing</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patient can select scope, method, permission, and expiry.</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10</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Revocation</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patient can revoke access and see the event in activity history.</w:t>
            </w:r>
          </w:p>
        </w:tc>
      </w:tr>
      <w:tr>
        <w:trPr>
          <w:cantSplit/>
        </w:trP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11</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Doctor view</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 doctor can open an authorized timeline and make a permitted sample contribution.</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12</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Summary</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patient can preview and print or download a watermarked demo summary.</w:t>
            </w:r>
          </w:p>
        </w:tc>
      </w:tr>
      <w:tr>
        <w:trPr>
          <w:cantSplit/>
        </w:trP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13</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Responsive design</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complete core journey works at phone, tablet, laptop, and desktop widths.</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14</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Accessibility</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The demo is keyboard usable and communicates status without color alone.</w:t>
            </w:r>
          </w:p>
        </w:tc>
      </w:tr>
      <w:tr>
        <w:trPr>
          <w:cantSplit/>
        </w:trP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15</w:t>
            </w:r>
          </w:p>
        </w:tc>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Language</w:t>
            </w:r>
          </w:p>
        </w:tc>
        <w:tc>
          <w:tcPr>
            <w:tcW w:type="dxa" w:w="65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English is complete and future Telugu and Hindi options are accurately labeled.</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AC 16</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Data restriction</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No screen, fixture, test, or committed file contains real medical information.</w:t>
            </w:r>
          </w:p>
        </w:tc>
      </w:tr>
      <w:tr>
        <w:trPr>
          <w:cantSplit/>
        </w:trPr>
        <w:tc>
          <w:tcPr>
            <w:tcW w:type="dxa" w:w="108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AC 17</w:t>
            </w:r>
          </w:p>
        </w:tc>
        <w:tc>
          <w:tcPr>
            <w:tcW w:type="dxa" w:w="201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Appearance</w:t>
            </w:r>
          </w:p>
        </w:tc>
        <w:tc>
          <w:tcPr>
            <w:tcW w:type="dxa" w:w="655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Light and dark modes remain readable across the site and demo. The choice survives navigation and reloads, while the printed summary stays legible.</w:t>
            </w:r>
          </w:p>
        </w:tc>
      </w:tr>
    </w:tbl>
    <w:p>
      <w:pPr>
        <w:spacing w:after="60"/>
      </w:pPr>
    </w:p>
    <w:p>
      <w:pPr>
        <w:pStyle w:val="Heading2"/>
        <w:keepNext/>
      </w:pPr>
      <w:r>
        <w:t>Demonstration Journey</w:t>
      </w:r>
    </w:p>
    <w:p>
      <w:pPr>
        <w:spacing w:after="80"/>
        <w:ind w:left="346" w:hanging="346"/>
      </w:pPr>
      <w:r>
        <w:rPr>
          <w:rFonts w:ascii="Arial" w:hAnsi="Arial"/>
        </w:rPr>
        <w:t>1.  Open the landing page and enter the demo as a patient.</w:t>
      </w:r>
    </w:p>
    <w:p>
      <w:pPr>
        <w:spacing w:after="80"/>
        <w:ind w:left="346" w:hanging="346"/>
      </w:pPr>
      <w:r>
        <w:rPr>
          <w:rFonts w:ascii="Arial" w:hAnsi="Arial"/>
        </w:rPr>
        <w:t>2.  Review the dashboard and open the medical timeline.</w:t>
      </w:r>
    </w:p>
    <w:p>
      <w:pPr>
        <w:spacing w:after="80"/>
        <w:ind w:left="346" w:hanging="346"/>
      </w:pPr>
      <w:r>
        <w:rPr>
          <w:rFonts w:ascii="Arial" w:hAnsi="Arial"/>
        </w:rPr>
        <w:t>3.  Filter the history and inspect an original report.</w:t>
      </w:r>
    </w:p>
    <w:p>
      <w:pPr>
        <w:spacing w:after="80"/>
        <w:ind w:left="346" w:hanging="346"/>
      </w:pPr>
      <w:r>
        <w:rPr>
          <w:rFonts w:ascii="Arial" w:hAnsi="Arial"/>
        </w:rPr>
        <w:t>4.  Upload a sample file and correct simulated extracted metadata.</w:t>
      </w:r>
    </w:p>
    <w:p>
      <w:pPr>
        <w:spacing w:after="80"/>
        <w:ind w:left="346" w:hanging="346"/>
      </w:pPr>
      <w:r>
        <w:rPr>
          <w:rFonts w:ascii="Arial" w:hAnsi="Arial"/>
        </w:rPr>
        <w:t>5.  Share selected records with a fictional verified doctor using view-and-contribute access.</w:t>
      </w:r>
    </w:p>
    <w:p>
      <w:pPr>
        <w:spacing w:after="80"/>
        <w:ind w:left="346" w:hanging="346"/>
      </w:pPr>
      <w:r>
        <w:rPr>
          <w:rFonts w:ascii="Arial" w:hAnsi="Arial"/>
        </w:rPr>
        <w:t>6.  Open the doctor view and add a sample clinical note.</w:t>
      </w:r>
    </w:p>
    <w:p>
      <w:pPr>
        <w:spacing w:after="80"/>
        <w:ind w:left="346" w:hanging="346"/>
      </w:pPr>
      <w:r>
        <w:rPr>
          <w:rFonts w:ascii="Arial" w:hAnsi="Arial"/>
        </w:rPr>
        <w:t>7.  Return to the patient view, confirm the activity event, then revoke access.</w:t>
      </w:r>
    </w:p>
    <w:p>
      <w:pPr>
        <w:spacing w:after="80"/>
        <w:ind w:left="346" w:hanging="346"/>
      </w:pPr>
      <w:r>
        <w:rPr>
          <w:rFonts w:ascii="Arial" w:hAnsi="Arial"/>
        </w:rPr>
        <w:t>8.  Preview the downloadable medical summary.</w:t>
      </w:r>
    </w:p>
    <w:p>
      <w:pPr>
        <w:pStyle w:val="Heading1"/>
        <w:keepNext/>
      </w:pPr>
      <w:r>
        <w:t>Roadmap and Release Management</w:t>
      </w:r>
    </w:p>
    <w:p>
      <w:pPr>
        <w:pStyle w:val="Heading2"/>
        <w:keepNext/>
      </w:pPr>
      <w:r>
        <w:t>Candidate Future Capabilities</w:t>
      </w:r>
    </w:p>
    <w:p>
      <w:pPr>
        <w:pStyle w:val="ListBullet"/>
        <w:spacing w:after="60" w:line="259" w:lineRule="auto"/>
      </w:pPr>
      <w:r>
        <w:rPr>
          <w:rFonts w:ascii="Arial" w:hAnsi="Arial"/>
        </w:rPr>
        <w:t>Real authentication and identity verification</w:t>
      </w:r>
    </w:p>
    <w:p>
      <w:pPr>
        <w:pStyle w:val="ListBullet"/>
        <w:spacing w:after="60" w:line="259" w:lineRule="auto"/>
      </w:pPr>
      <w:r>
        <w:rPr>
          <w:rFonts w:ascii="Arial" w:hAnsi="Arial"/>
        </w:rPr>
        <w:t>Secure database and cloud document storage</w:t>
      </w:r>
    </w:p>
    <w:p>
      <w:pPr>
        <w:pStyle w:val="ListBullet"/>
        <w:spacing w:after="60" w:line="259" w:lineRule="auto"/>
      </w:pPr>
      <w:r>
        <w:rPr>
          <w:rFonts w:ascii="Arial" w:hAnsi="Arial"/>
        </w:rPr>
        <w:t>OCR and structured medical-document extraction</w:t>
      </w:r>
    </w:p>
    <w:p>
      <w:pPr>
        <w:pStyle w:val="ListBullet"/>
        <w:spacing w:after="60" w:line="259" w:lineRule="auto"/>
      </w:pPr>
      <w:r>
        <w:rPr>
          <w:rFonts w:ascii="Arial" w:hAnsi="Arial"/>
        </w:rPr>
        <w:t>Live professional-registry verification</w:t>
      </w:r>
    </w:p>
    <w:p>
      <w:pPr>
        <w:pStyle w:val="ListBullet"/>
        <w:spacing w:after="60" w:line="259" w:lineRule="auto"/>
      </w:pPr>
      <w:r>
        <w:rPr>
          <w:rFonts w:ascii="Arial" w:hAnsi="Arial"/>
        </w:rPr>
        <w:t>Hospital and clinic integrations</w:t>
      </w:r>
    </w:p>
    <w:p>
      <w:pPr>
        <w:pStyle w:val="ListBullet"/>
        <w:spacing w:after="60" w:line="259" w:lineRule="auto"/>
      </w:pPr>
      <w:r>
        <w:rPr>
          <w:rFonts w:ascii="Arial" w:hAnsi="Arial"/>
        </w:rPr>
        <w:t>Appointment booking and reminders</w:t>
      </w:r>
    </w:p>
    <w:p>
      <w:pPr>
        <w:pStyle w:val="ListBullet"/>
        <w:spacing w:after="60" w:line="259" w:lineRule="auto"/>
      </w:pPr>
      <w:r>
        <w:rPr>
          <w:rFonts w:ascii="Arial" w:hAnsi="Arial"/>
        </w:rPr>
        <w:t>Medication reminders and health notifications</w:t>
      </w:r>
    </w:p>
    <w:p>
      <w:pPr>
        <w:pStyle w:val="ListBullet"/>
        <w:spacing w:after="60" w:line="259" w:lineRule="auto"/>
      </w:pPr>
      <w:r>
        <w:rPr>
          <w:rFonts w:ascii="Arial" w:hAnsi="Arial"/>
        </w:rPr>
        <w:t>Secure messaging and video consultations</w:t>
      </w:r>
    </w:p>
    <w:p>
      <w:pPr>
        <w:pStyle w:val="ListBullet"/>
        <w:spacing w:after="60" w:line="259" w:lineRule="auto"/>
      </w:pPr>
      <w:r>
        <w:rPr>
          <w:rFonts w:ascii="Arial" w:hAnsi="Arial"/>
        </w:rPr>
        <w:t>Telugu and Hindi translations</w:t>
      </w:r>
    </w:p>
    <w:p>
      <w:pPr>
        <w:pStyle w:val="ListBullet"/>
        <w:spacing w:after="60" w:line="259" w:lineRule="auto"/>
      </w:pPr>
      <w:r>
        <w:rPr>
          <w:rFonts w:ascii="Arial" w:hAnsi="Arial"/>
        </w:rPr>
        <w:t>Automatic system-theme matching</w:t>
      </w:r>
    </w:p>
    <w:p>
      <w:pPr>
        <w:pStyle w:val="ListBullet"/>
        <w:spacing w:after="60" w:line="259" w:lineRule="auto"/>
      </w:pPr>
      <w:r>
        <w:rPr>
          <w:rFonts w:ascii="Arial" w:hAnsi="Arial"/>
        </w:rPr>
        <w:t>Emergency profile and QR access</w:t>
      </w:r>
    </w:p>
    <w:p>
      <w:pPr>
        <w:pStyle w:val="ListBullet"/>
        <w:spacing w:after="60" w:line="259" w:lineRule="auto"/>
      </w:pPr>
      <w:r>
        <w:rPr>
          <w:rFonts w:ascii="Arial" w:hAnsi="Arial"/>
        </w:rPr>
        <w:t>Native mobile applications</w:t>
      </w:r>
    </w:p>
    <w:p>
      <w:pPr>
        <w:pStyle w:val="ListBullet"/>
        <w:spacing w:after="60" w:line="259" w:lineRule="auto"/>
      </w:pPr>
      <w:r>
        <w:rPr>
          <w:rFonts w:ascii="Arial" w:hAnsi="Arial"/>
        </w:rPr>
        <w:t>Pricing, subscriptions, and organization licensing</w:t>
      </w:r>
    </w:p>
    <w:p>
      <w:pPr>
        <w:pStyle w:val="Heading2"/>
        <w:keepNext/>
      </w:pPr>
      <w:r>
        <w:t>Version Planning Rule</w:t>
      </w:r>
    </w:p>
    <w:p>
      <w:pPr>
        <w:spacing w:after="140" w:line="269" w:lineRule="auto"/>
      </w:pPr>
      <w:r>
        <w:rPr>
          <w:rFonts w:ascii="Arial" w:hAnsi="Arial"/>
          <w:i w:val="0"/>
        </w:rPr>
        <w:t>Each release should have a written scope before implementation. The release entry must state its user value, included work, exclusions, affected data, privacy and security impact, migration needs, and acceptance criteria. Ideas that are not approved for the current release remain in the roadmap.</w:t>
      </w:r>
    </w:p>
    <w:p>
      <w:pPr>
        <w:pStyle w:val="Heading2"/>
        <w:keepNext/>
      </w:pPr>
      <w:r>
        <w:t>Update Process</w:t>
      </w:r>
    </w:p>
    <w:p>
      <w:pPr>
        <w:spacing w:after="80"/>
        <w:ind w:left="346" w:hanging="346"/>
      </w:pPr>
      <w:r>
        <w:rPr>
          <w:rFonts w:ascii="Arial" w:hAnsi="Arial"/>
        </w:rPr>
        <w:t>1.  Choose the next version number and target outcome.</w:t>
      </w:r>
    </w:p>
    <w:p>
      <w:pPr>
        <w:spacing w:after="80"/>
        <w:ind w:left="346" w:hanging="346"/>
      </w:pPr>
      <w:r>
        <w:rPr>
          <w:rFonts w:ascii="Arial" w:hAnsi="Arial"/>
        </w:rPr>
        <w:t>2.  Record the approved feature changes in this document.</w:t>
      </w:r>
    </w:p>
    <w:p>
      <w:pPr>
        <w:spacing w:after="80"/>
        <w:ind w:left="346" w:hanging="346"/>
      </w:pPr>
      <w:r>
        <w:rPr>
          <w:rFonts w:ascii="Arial" w:hAnsi="Arial"/>
        </w:rPr>
        <w:t>3.  Update the Markdown build specification before implementation begins.</w:t>
      </w:r>
    </w:p>
    <w:p>
      <w:pPr>
        <w:spacing w:after="80"/>
        <w:ind w:left="346" w:hanging="346"/>
      </w:pPr>
      <w:r>
        <w:rPr>
          <w:rFonts w:ascii="Arial" w:hAnsi="Arial"/>
        </w:rPr>
        <w:t>4.  Revise user journeys, permissions, data requirements, and acceptance criteria.</w:t>
      </w:r>
    </w:p>
    <w:p>
      <w:pPr>
        <w:spacing w:after="80"/>
        <w:ind w:left="346" w:hanging="346"/>
      </w:pPr>
      <w:r>
        <w:rPr>
          <w:rFonts w:ascii="Arial" w:hAnsi="Arial"/>
        </w:rPr>
        <w:t>5.  Implement and verify the release.</w:t>
      </w:r>
    </w:p>
    <w:p>
      <w:pPr>
        <w:spacing w:after="80"/>
        <w:ind w:left="346" w:hanging="346"/>
      </w:pPr>
      <w:r>
        <w:rPr>
          <w:rFonts w:ascii="Arial" w:hAnsi="Arial"/>
        </w:rPr>
        <w:t>6.  Add the completed release to the version history and changelog.</w:t>
      </w:r>
    </w:p>
    <w:p>
      <w:pPr>
        <w:pStyle w:val="Heading2"/>
        <w:keepNext/>
      </w:pPr>
      <w:r>
        <w:t>Version History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237A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Version</w:t>
            </w:r>
          </w:p>
        </w:tc>
        <w:tc>
          <w:tcPr>
            <w:tcW w:type="dxa" w:w="1656"/>
            <w:shd w:fill="237A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Date</w:t>
            </w:r>
          </w:p>
        </w:tc>
        <w:tc>
          <w:tcPr>
            <w:tcW w:type="dxa" w:w="1656"/>
            <w:shd w:fill="237A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Status</w:t>
            </w:r>
          </w:p>
        </w:tc>
        <w:tc>
          <w:tcPr>
            <w:tcW w:type="dxa" w:w="5184"/>
            <w:shd w:fill="237A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Summary</w:t>
            </w:r>
          </w:p>
        </w:tc>
      </w:tr>
      <w:tr>
        <w:trPr>
          <w:cantSplit/>
        </w:trPr>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0.1</w:t>
            </w:r>
          </w:p>
        </w:tc>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28 Sep 2026</w:t>
            </w:r>
          </w:p>
        </w:tc>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Approved</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Local demo centered on organized reports, patient-controlled doctor access, and the approved TypeScript web stack</w:t>
            </w:r>
          </w:p>
        </w:tc>
      </w:tr>
      <w:tr>
        <w:trPr>
          <w:cantSplit/>
        </w:trPr>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0.1.1</w:t>
            </w:r>
          </w:p>
        </w:tc>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28 Sep 2026</w:t>
            </w:r>
          </w:p>
        </w:tc>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Implemented</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r>
              <w:t>Added saved light and dark appearance modes to the public site and local demo.</w:t>
            </w:r>
          </w:p>
        </w:tc>
      </w:tr>
    </w:tbl>
    <w:p>
      <w:pPr>
        <w:spacing w:after="60"/>
      </w:pPr>
    </w:p>
    <w:p>
      <w:pPr>
        <w:pStyle w:val="Heading2"/>
        <w:keepNext/>
      </w:pPr>
      <w:r>
        <w:t>Changelog</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936"/>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Version</w:t>
            </w:r>
          </w:p>
        </w:tc>
        <w:tc>
          <w:tcPr>
            <w:tcW w:type="dxa" w:w="2376"/>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Added</w:t>
            </w:r>
          </w:p>
        </w:tc>
        <w:tc>
          <w:tcPr>
            <w:tcW w:type="dxa" w:w="223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Changed</w:t>
            </w:r>
          </w:p>
        </w:tc>
        <w:tc>
          <w:tcPr>
            <w:tcW w:type="dxa" w:w="187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Removed</w:t>
            </w:r>
          </w:p>
        </w:tc>
        <w:tc>
          <w:tcPr>
            <w:tcW w:type="dxa" w:w="2232"/>
            <w:shd w:fill="2563E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b/>
                <w:color w:val="FFFFFF"/>
                <w:sz w:val="19"/>
              </w:rPr>
              <w:t>Notes</w:t>
            </w:r>
          </w:p>
        </w:tc>
      </w:tr>
      <w:tr>
        <w:trPr>
          <w:cantSplit/>
        </w:trPr>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0.1</w:t>
            </w:r>
          </w:p>
        </w:tc>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Initial product scope</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Not applicable</w:t>
            </w:r>
          </w:p>
        </w:tc>
        <w:tc>
          <w:tcPr>
            <w:tcW w:type="dxa" w:w="18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jc w:val="center"/>
            </w:pPr>
            <w:r>
              <w:rPr>
                <w:rFonts w:ascii="Arial" w:hAnsi="Arial"/>
                <w:sz w:val="18"/>
              </w:rPr>
              <w:t>Not applicable</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line="252" w:lineRule="auto"/>
            </w:pPr>
            <w:r>
              <w:rPr>
                <w:rFonts w:ascii="Arial" w:hAnsi="Arial"/>
                <w:sz w:val="18"/>
              </w:rPr>
              <w:t>First approved demo definition</w:t>
            </w:r>
          </w:p>
        </w:tc>
      </w:tr>
      <w:tr>
        <w:trPr>
          <w:cantSplit/>
        </w:trPr>
        <w:tc>
          <w:tcPr>
            <w:tcW w:type="dxa" w:w="1999"/>
            <w:vAlign w:val="center"/>
            <w:tcMar>
              <w:top w:w="100" w:type="dxa"/>
              <w:start w:w="120" w:type="dxa"/>
              <w:bottom w:w="100" w:type="dxa"/>
              <w:end w:w="120" w:type="dxa"/>
            </w:tcMar>
            <w:shd w:fill="F2F6FA"/>
          </w:tcPr>
          <w:p>
            <w:pPr>
              <w:spacing w:after="0" w:line="252" w:lineRule="auto"/>
              <w:jc w:val="center"/>
            </w:pPr>
            <w:r>
              <w:rPr>
                <w:rFonts w:ascii="Arial" w:hAnsi="Arial"/>
                <w:sz w:val="21"/>
              </w:rPr>
              <w:t>0.1</w:t>
            </w:r>
          </w:p>
        </w:tc>
        <w:tc>
          <w:tcPr>
            <w:tcW w:type="dxa" w:w="1999"/>
            <w:vAlign w:val="center"/>
            <w:tcMar>
              <w:top w:w="100" w:type="dxa"/>
              <w:start w:w="120" w:type="dxa"/>
              <w:bottom w:w="100" w:type="dxa"/>
              <w:end w:w="120" w:type="dxa"/>
            </w:tcMar>
            <w:shd w:fill="F2F6FA"/>
          </w:tcPr>
          <w:p>
            <w:pPr>
              <w:spacing w:after="0" w:line="252" w:lineRule="auto"/>
              <w:jc w:val="left"/>
            </w:pPr>
            <w:r>
              <w:rPr>
                <w:rFonts w:ascii="Arial" w:hAnsi="Arial"/>
                <w:sz w:val="21"/>
              </w:rPr>
              <w:t>Approved technology stack</w:t>
            </w:r>
          </w:p>
        </w:tc>
        <w:tc>
          <w:tcPr>
            <w:tcW w:type="dxa" w:w="1999"/>
            <w:vAlign w:val="center"/>
            <w:tcMar>
              <w:top w:w="100" w:type="dxa"/>
              <w:start w:w="120" w:type="dxa"/>
              <w:bottom w:w="100" w:type="dxa"/>
              <w:end w:w="120" w:type="dxa"/>
            </w:tcMar>
            <w:shd w:fill="F2F6FA"/>
          </w:tcPr>
          <w:p>
            <w:pPr>
              <w:spacing w:after="0" w:line="252" w:lineRule="auto"/>
              <w:jc w:val="left"/>
            </w:pPr>
            <w:r>
              <w:rPr>
                <w:rFonts w:ascii="Arial" w:hAnsi="Arial"/>
                <w:sz w:val="21"/>
              </w:rPr>
              <w:t>Build specification and product documentation</w:t>
            </w:r>
          </w:p>
        </w:tc>
        <w:tc>
          <w:tcPr>
            <w:tcW w:type="dxa" w:w="1999"/>
            <w:vAlign w:val="center"/>
            <w:tcMar>
              <w:top w:w="100" w:type="dxa"/>
              <w:start w:w="120" w:type="dxa"/>
              <w:bottom w:w="100" w:type="dxa"/>
              <w:end w:w="120" w:type="dxa"/>
            </w:tcMar>
            <w:shd w:fill="F2F6FA"/>
          </w:tcPr>
          <w:p>
            <w:pPr>
              <w:spacing w:after="0" w:line="252" w:lineRule="auto"/>
              <w:jc w:val="left"/>
            </w:pPr>
            <w:r>
              <w:rPr>
                <w:rFonts w:ascii="Arial" w:hAnsi="Arial"/>
                <w:sz w:val="21"/>
              </w:rPr>
              <w:t>Not applicable</w:t>
            </w:r>
          </w:p>
        </w:tc>
        <w:tc>
          <w:tcPr>
            <w:tcW w:type="dxa" w:w="1999"/>
            <w:vAlign w:val="center"/>
            <w:tcMar>
              <w:top w:w="100" w:type="dxa"/>
              <w:start w:w="120" w:type="dxa"/>
              <w:bottom w:w="100" w:type="dxa"/>
              <w:end w:w="120" w:type="dxa"/>
            </w:tcMar>
            <w:shd w:fill="F2F6FA"/>
          </w:tcPr>
          <w:p>
            <w:pPr>
              <w:spacing w:after="0" w:line="252" w:lineRule="auto"/>
              <w:jc w:val="left"/>
            </w:pPr>
            <w:r>
              <w:rPr>
                <w:rFonts w:ascii="Arial" w:hAnsi="Arial"/>
                <w:sz w:val="21"/>
              </w:rPr>
              <w:t>Next.js, TypeScript, and local-only demo architecture approved on 28 Sep 2026</w:t>
            </w:r>
          </w:p>
        </w:tc>
      </w:tr>
      <w:tr>
        <w:trPr>
          <w:cantSplit/>
        </w:trPr>
        <w:tc>
          <w:tcPr>
            <w:tcW w:type="dxa" w:w="1999"/>
            <w:vAlign w:val="center"/>
            <w:tcMar>
              <w:top w:w="100" w:type="dxa"/>
              <w:start w:w="120" w:type="dxa"/>
              <w:bottom w:w="100" w:type="dxa"/>
              <w:end w:w="120" w:type="dxa"/>
            </w:tcMar>
            <w:shd w:fill="F2F6FA"/>
          </w:tcPr>
          <w:p>
            <w:r>
              <w:t>0.1.1</w:t>
            </w:r>
          </w:p>
        </w:tc>
        <w:tc>
          <w:tcPr>
            <w:tcW w:type="dxa" w:w="1999"/>
            <w:vAlign w:val="center"/>
            <w:tcMar>
              <w:top w:w="100" w:type="dxa"/>
              <w:start w:w="120" w:type="dxa"/>
              <w:bottom w:w="100" w:type="dxa"/>
              <w:end w:w="120" w:type="dxa"/>
            </w:tcMar>
            <w:shd w:fill="F2F6FA"/>
          </w:tcPr>
          <w:p>
            <w:r>
              <w:t>Light and dark appearance modes</w:t>
            </w:r>
          </w:p>
        </w:tc>
        <w:tc>
          <w:tcPr>
            <w:tcW w:type="dxa" w:w="1999"/>
            <w:vAlign w:val="center"/>
            <w:tcMar>
              <w:top w:w="100" w:type="dxa"/>
              <w:start w:w="120" w:type="dxa"/>
              <w:bottom w:w="100" w:type="dxa"/>
              <w:end w:w="120" w:type="dxa"/>
            </w:tcMar>
            <w:shd w:fill="F2F6FA"/>
          </w:tcPr>
          <w:p>
            <w:r>
              <w:t>Appearance settings and acceptance criteria</w:t>
            </w:r>
          </w:p>
        </w:tc>
        <w:tc>
          <w:tcPr>
            <w:tcW w:type="dxa" w:w="1999"/>
            <w:vAlign w:val="center"/>
            <w:tcMar>
              <w:top w:w="100" w:type="dxa"/>
              <w:start w:w="120" w:type="dxa"/>
              <w:bottom w:w="100" w:type="dxa"/>
              <w:end w:w="120" w:type="dxa"/>
            </w:tcMar>
            <w:shd w:fill="F2F6FA"/>
          </w:tcPr>
          <w:p>
            <w:r>
              <w:t>Dark mode from future roadmap</w:t>
            </w:r>
          </w:p>
        </w:tc>
        <w:tc>
          <w:tcPr>
            <w:tcW w:type="dxa" w:w="1999"/>
            <w:vAlign w:val="center"/>
            <w:tcMar>
              <w:top w:w="100" w:type="dxa"/>
              <w:start w:w="120" w:type="dxa"/>
              <w:bottom w:w="100" w:type="dxa"/>
              <w:end w:w="120" w:type="dxa"/>
            </w:tcMar>
            <w:shd w:fill="F2F6FA"/>
          </w:tcPr>
          <w:p>
            <w:r>
              <w:t>Browser-local preference only; no new medical data, external service, or integration.</w:t>
            </w:r>
          </w:p>
        </w:tc>
      </w:tr>
    </w:tbl>
    <w:p>
      <w:pPr>
        <w:spacing w:after="60"/>
      </w:pPr>
    </w:p>
    <w:p>
      <w:pPr>
        <w:pStyle w:val="Heading2"/>
        <w:keepNext/>
      </w:pPr>
      <w:r>
        <w:t>Open Product Decisions</w:t>
      </w:r>
    </w:p>
    <w:p>
      <w:pPr>
        <w:pStyle w:val="ListBullet"/>
        <w:spacing w:after="60" w:line="259" w:lineRule="auto"/>
      </w:pPr>
      <w:r>
        <w:rPr>
          <w:rFonts w:ascii="Arial" w:hAnsi="Arial"/>
        </w:rPr>
        <w:t>Production hosting and data architecture</w:t>
      </w:r>
    </w:p>
    <w:p>
      <w:pPr>
        <w:pStyle w:val="ListBullet"/>
        <w:spacing w:after="60" w:line="259" w:lineRule="auto"/>
      </w:pPr>
      <w:r>
        <w:rPr>
          <w:rFonts w:ascii="Arial" w:hAnsi="Arial"/>
        </w:rPr>
        <w:t>Commercial model and pricing</w:t>
      </w:r>
    </w:p>
    <w:p>
      <w:pPr>
        <w:pStyle w:val="ListBullet"/>
        <w:spacing w:after="60" w:line="259" w:lineRule="auto"/>
      </w:pPr>
      <w:r>
        <w:rPr>
          <w:rFonts w:ascii="Arial" w:hAnsi="Arial"/>
        </w:rPr>
        <w:t>Detailed legal and regulatory requirements</w:t>
      </w:r>
    </w:p>
    <w:p>
      <w:pPr>
        <w:pStyle w:val="ListBullet"/>
        <w:spacing w:after="60" w:line="259" w:lineRule="auto"/>
      </w:pPr>
      <w:r>
        <w:rPr>
          <w:rFonts w:ascii="Arial" w:hAnsi="Arial"/>
        </w:rPr>
        <w:t>Final logo artwork and brand ownership checks</w:t>
      </w:r>
    </w:p>
    <w:p>
      <w:pPr>
        <w:pStyle w:val="ListBullet"/>
        <w:spacing w:after="60" w:line="259" w:lineRule="auto"/>
      </w:pPr>
      <w:r>
        <w:rPr>
          <w:rFonts w:ascii="Arial" w:hAnsi="Arial"/>
        </w:rPr>
        <w:t>Order and scope of post-demo features</w:t>
      </w:r>
    </w:p>
    <w:p>
      <w:pPr>
        <w:pStyle w:val="Heading2"/>
        <w:keepNext/>
      </w:pPr>
      <w:r>
        <w:t>Reference</w:t>
      </w:r>
    </w:p>
    <w:p>
      <w:pPr>
        <w:spacing w:after="140" w:line="269" w:lineRule="auto"/>
      </w:pPr>
      <w:r>
        <w:rPr>
          <w:rFonts w:ascii="Arial" w:hAnsi="Arial"/>
          <w:i w:val="0"/>
        </w:rPr>
        <w:t>National Medical Commission. Indian Medical Register. https://nmc.org.in/information-desk/indian-medical-register</w:t>
      </w:r>
    </w:p>
    <w:sectPr w:rsidR="00FC693F" w:rsidRPr="0006063C" w:rsidSect="00034616">
      <w:headerReference w:type="default" r:id="rId9"/>
      <w:footerReference w:type="default" r:id="rId10"/>
      <w:pgSz w:w="12240" w:h="15840"/>
      <w:pgMar w:top="1037" w:right="1123" w:bottom="1512"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C667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37A57"/>
        <w:sz w:val="17"/>
      </w:rPr>
      <w:t>HEALTH DOSSIER    VERSION 0.1.1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73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Arial" w:hAnsi="Arial"/>
      <w:i/>
      <w:color w:val="5C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Dossier Version 0.1 Demo Product Documentation</dc:title>
  <dc:subject>Living product documentation for the Health Dossier local demo</dc:subject>
  <dc:creator>Health Dossier</dc:creator>
  <cp:keywords>Health Dossier, product documentation, version 0.1, healthcare demo</cp:keywords>
  <dc:description>Approved local demo scope using fictional sample data only.</dc:description>
  <cp:lastModifiedBy/>
  <cp:revision>1</cp:revision>
  <dcterms:created xsi:type="dcterms:W3CDTF">2013-12-23T23:15:00Z</dcterms:created>
  <dcterms:modified xsi:type="dcterms:W3CDTF">2013-12-23T23:15:00Z</dcterms:modified>
  <cp:category/>
</cp:coreProperties>
</file>