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2E75B6"/>
          <w:sz w:val="22"/>
          <w:szCs w:val="22"/>
        </w:rPr>
        <w:t xml:space="preserve">DESIGN DOCUMENT</w:t>
      </w:r>
    </w:p>
    <w:p>
      <w:pPr>
        <w:spacing w:after="40"/>
      </w:pPr>
      <w:r>
        <w:rPr>
          <w:rFonts w:ascii="Arial" w:cs="Arial" w:eastAsia="Arial" w:hAnsi="Arial"/>
          <w:b/>
          <w:bCs/>
          <w:color w:val="1B2A4A"/>
          <w:sz w:val="40"/>
          <w:szCs w:val="40"/>
        </w:rPr>
        <w:t xml:space="preserve">The Nines Calculator</w:t>
      </w:r>
    </w:p>
    <w:p>
      <w:pPr>
        <w:spacing w:after="240"/>
      </w:pPr>
      <w:r>
        <w:rPr>
          <w:rFonts w:ascii="Arial" w:cs="Arial" w:eastAsia="Arial" w:hAnsi="Arial"/>
          <w:i/>
          <w:iCs/>
          <w:color w:val="555555"/>
          <w:sz w:val="24"/>
          <w:szCs w:val="24"/>
        </w:rPr>
        <w:t xml:space="preserve">Interaction model, visual system, and layout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Product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Nines Calculator (DecisionDock)</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Author</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Manager</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February 28, 2026</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 v1.1 (revised from review)</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Depends 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Problem Brief v1.0, PRD v1.1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75B6" w:sz="6"/>
              <w:bottom w:val="none"/>
              <w:right w:val="none"/>
            </w:tcBorders>
            <w:shd w:fill="EBF0F8" w:val="clear"/>
            <w:tcMar>
              <w:top w:type="dxa" w:w="160"/>
              <w:left w:type="dxa" w:w="240"/>
              <w:bottom w:type="dxa" w:w="160"/>
              <w:right w:type="dxa" w:w="240"/>
            </w:tcMar>
          </w:tcPr>
          <w:p>
            <w:pPr>
              <w:spacing w:after="0" w:line="276"/>
            </w:pPr>
            <w:r>
              <w:rPr>
                <w:rFonts w:ascii="Arial" w:cs="Arial" w:eastAsia="Arial" w:hAnsi="Arial"/>
                <w:b/>
                <w:bCs/>
                <w:color w:val="1B2A4A"/>
                <w:sz w:val="21"/>
                <w:szCs w:val="21"/>
              </w:rPr>
              <w:t xml:space="preserve">v1.1 changelog: </w:t>
            </w:r>
            <w:r>
              <w:rPr>
                <w:rFonts w:ascii="Arial" w:cs="Arial" w:eastAsia="Arial" w:hAnsi="Arial"/>
                <w:color w:val="1B2A4A"/>
                <w:sz w:val="21"/>
                <w:szCs w:val="21"/>
              </w:rPr>
              <w:t xml:space="preserve">(1) Added wireframe diagram in Section 4. (2) Fixed tab switching contradiction: counter animates to cost at new default, not "equivalent position." (3) Added above-the-fold responsive adaptation for viewports &lt;800px tall.</w:t>
            </w:r>
          </w:p>
        </w:tc>
      </w:tr>
    </w:tbl>
    <w:p>
      <w:pPr>
        <w:spacing w:after="200"/>
      </w:pPr>
    </w:p>
    <w:p>
      <w:pPr>
        <w:pStyle w:val="Heading1"/>
        <w:spacing w:before="360" w:after="200"/>
      </w:pPr>
      <w:r>
        <w:rPr>
          <w:rFonts w:ascii="Arial" w:cs="Arial" w:eastAsia="Arial" w:hAnsi="Arial"/>
          <w:b/>
          <w:bCs/>
          <w:color w:val="1B2A4A"/>
          <w:sz w:val="28"/>
          <w:szCs w:val="28"/>
        </w:rPr>
        <w:t xml:space="preserve">1. Design Philosophy</w:t>
      </w:r>
    </w:p>
    <w:p>
      <w:pPr>
        <w:spacing w:after="160" w:line="276"/>
      </w:pPr>
      <w:r>
        <w:rPr>
          <w:rFonts w:ascii="Arial" w:cs="Arial" w:eastAsia="Arial" w:hAnsi="Arial"/>
          <w:color w:val="333333"/>
          <w:sz w:val="21"/>
          <w:szCs w:val="21"/>
        </w:rPr>
        <w:t xml:space="preserve">This document translates the PRD’s requirements into concrete visual and interaction decisions. Every choice traces back to the five design principles established in the PRD: interaction over explanation, the output is the product, polish over breadth, credibility through data, and zero friction.</w:t>
      </w:r>
    </w:p>
    <w:p>
      <w:pPr>
        <w:spacing w:after="160" w:line="276"/>
      </w:pPr>
      <w:r>
        <w:rPr>
          <w:rFonts w:ascii="Arial" w:cs="Arial" w:eastAsia="Arial" w:hAnsi="Arial"/>
          <w:color w:val="333333"/>
          <w:sz w:val="21"/>
          <w:szCs w:val="21"/>
        </w:rPr>
        <w:t xml:space="preserve">The overarching design philosophy can be stated simply: </w:t>
      </w:r>
      <w:r>
        <w:rPr>
          <w:rFonts w:ascii="Arial" w:cs="Arial" w:eastAsia="Arial" w:hAnsi="Arial"/>
          <w:b/>
          <w:bCs/>
          <w:color w:val="333333"/>
          <w:sz w:val="21"/>
          <w:szCs w:val="21"/>
        </w:rPr>
        <w:t xml:space="preserve">the interface should feel like a tool made by a company that charges for software, even though this one is free.</w:t>
      </w:r>
      <w:r>
        <w:rPr>
          <w:rFonts w:ascii="Arial" w:cs="Arial" w:eastAsia="Arial" w:hAnsi="Arial"/>
          <w:color w:val="333333"/>
          <w:sz w:val="21"/>
          <w:szCs w:val="21"/>
        </w:rPr>
        <w:t xml:space="preserve"> That means no rounded-corner toy aesthetic, no gratuitous gradients, no "made with AI" energy. The visual language should read as </w:t>
      </w:r>
      <w:r>
        <w:rPr>
          <w:rFonts w:ascii="Arial" w:cs="Arial" w:eastAsia="Arial" w:hAnsi="Arial"/>
          <w:i/>
          <w:iCs/>
          <w:color w:val="333333"/>
          <w:sz w:val="21"/>
          <w:szCs w:val="21"/>
        </w:rPr>
        <w:t xml:space="preserve">Linear meets Stripe</w:t>
      </w:r>
      <w:r>
        <w:rPr>
          <w:rFonts w:ascii="Arial" w:cs="Arial" w:eastAsia="Arial" w:hAnsi="Arial"/>
          <w:color w:val="333333"/>
          <w:sz w:val="21"/>
          <w:szCs w:val="21"/>
        </w:rPr>
        <w:t xml:space="preserve">—clean, confident, data-dense where it matters, and generous with whitespace everywhere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75B6" w:sz="6"/>
              <w:bottom w:val="none"/>
              <w:right w:val="none"/>
            </w:tcBorders>
            <w:shd w:fill="EBF0F8" w:val="clear"/>
            <w:tcMar>
              <w:top w:type="dxa" w:w="160"/>
              <w:left w:type="dxa" w:w="240"/>
              <w:bottom w:type="dxa" w:w="160"/>
              <w:right w:type="dxa" w:w="240"/>
            </w:tcMar>
          </w:tcPr>
          <w:p>
            <w:pPr>
              <w:spacing w:after="0" w:line="276"/>
            </w:pPr>
            <w:r>
              <w:rPr>
                <w:rFonts w:ascii="Arial" w:cs="Arial" w:eastAsia="Arial" w:hAnsi="Arial"/>
                <w:b/>
                <w:bCs/>
                <w:color w:val="1B2A4A"/>
                <w:sz w:val="21"/>
                <w:szCs w:val="21"/>
              </w:rPr>
              <w:t xml:space="preserve">Design test: </w:t>
            </w:r>
            <w:r>
              <w:rPr>
                <w:rFonts w:ascii="Arial" w:cs="Arial" w:eastAsia="Arial" w:hAnsi="Arial"/>
                <w:color w:val="1B2A4A"/>
                <w:sz w:val="21"/>
                <w:szCs w:val="21"/>
              </w:rPr>
              <w:t xml:space="preserve">If a hiring manager screenshots this tool and puts it next to the Stripe pricing page and the Linear dashboard, does it belong in that company? That’s the bar.</w:t>
            </w:r>
          </w:p>
        </w:tc>
      </w:tr>
    </w:tbl>
    <w:p>
      <w:pPr>
        <w:spacing w:after="80"/>
      </w:pPr>
    </w:p>
    <w:p>
      <w:pPr>
        <w:pStyle w:val="Heading1"/>
        <w:spacing w:before="360" w:after="200"/>
      </w:pPr>
      <w:r>
        <w:rPr>
          <w:rFonts w:ascii="Arial" w:cs="Arial" w:eastAsia="Arial" w:hAnsi="Arial"/>
          <w:b/>
          <w:bCs/>
          <w:color w:val="1B2A4A"/>
          <w:sz w:val="28"/>
          <w:szCs w:val="28"/>
        </w:rPr>
        <w:t xml:space="preserve">2. Information Architecture</w:t>
      </w:r>
    </w:p>
    <w:p>
      <w:pPr>
        <w:pStyle w:val="Heading2"/>
        <w:spacing w:before="280" w:after="160"/>
      </w:pPr>
      <w:r>
        <w:rPr>
          <w:rFonts w:ascii="Arial" w:cs="Arial" w:eastAsia="Arial" w:hAnsi="Arial"/>
          <w:b/>
          <w:bCs/>
          <w:color w:val="2E75B6"/>
          <w:sz w:val="24"/>
          <w:szCs w:val="24"/>
        </w:rPr>
        <w:t xml:space="preserve">2.1 Page structure</w:t>
      </w:r>
    </w:p>
    <w:p>
      <w:pPr>
        <w:spacing w:after="160" w:line="276"/>
      </w:pPr>
      <w:r>
        <w:rPr>
          <w:rFonts w:ascii="Arial" w:cs="Arial" w:eastAsia="Arial" w:hAnsi="Arial"/>
          <w:color w:val="333333"/>
          <w:sz w:val="21"/>
          <w:szCs w:val="21"/>
        </w:rPr>
        <w:t xml:space="preserve">The entire tool lives on a single page. There is no routing, no navigation, no second page. The user lands and the tool is immediately interactive. The page has five vertical zones, from top to bottom:</w:t>
      </w:r>
    </w:p>
    <w:p>
      <w:pPr>
        <w:pStyle w:val="ListParagraph"/>
        <w:numPr>
          <w:ilvl w:val="0"/>
          <w:numId w:val="2"/>
        </w:numPr>
        <w:spacing w:after="80" w:line="276"/>
      </w:pPr>
      <w:r>
        <w:rPr>
          <w:rFonts w:ascii="Arial" w:cs="Arial" w:eastAsia="Arial" w:hAnsi="Arial"/>
          <w:b/>
          <w:bCs/>
          <w:color w:val="333333"/>
          <w:sz w:val="21"/>
          <w:szCs w:val="21"/>
        </w:rPr>
        <w:t xml:space="preserve">Zone 1 — Hero headline (48px). </w:t>
      </w:r>
      <w:r>
        <w:rPr>
          <w:rFonts w:ascii="Arial" w:cs="Arial" w:eastAsia="Arial" w:hAnsi="Arial"/>
          <w:color w:val="333333"/>
          <w:sz w:val="21"/>
          <w:szCs w:val="21"/>
        </w:rPr>
        <w:t xml:space="preserve">One line: "What does the next nine actually cost?" This is the only text above the fold besides the tab labels. It earns attention without requiring reading.</w:t>
      </w:r>
    </w:p>
    <w:p>
      <w:pPr>
        <w:pStyle w:val="ListParagraph"/>
        <w:numPr>
          <w:ilvl w:val="0"/>
          <w:numId w:val="2"/>
        </w:numPr>
        <w:spacing w:after="80" w:line="276"/>
      </w:pPr>
      <w:r>
        <w:rPr>
          <w:rFonts w:ascii="Arial" w:cs="Arial" w:eastAsia="Arial" w:hAnsi="Arial"/>
          <w:b/>
          <w:bCs/>
          <w:color w:val="333333"/>
          <w:sz w:val="21"/>
          <w:szCs w:val="21"/>
        </w:rPr>
        <w:t xml:space="preserve">Zone 2 — Domain tabs. </w:t>
      </w:r>
      <w:r>
        <w:rPr>
          <w:rFonts w:ascii="Arial" w:cs="Arial" w:eastAsia="Arial" w:hAnsi="Arial"/>
          <w:color w:val="333333"/>
          <w:sz w:val="21"/>
          <w:szCs w:val="21"/>
        </w:rPr>
        <w:t xml:space="preserve">Horizontal tab bar: Uptime | Marketing | Coverage | CSAT. The Uptime tab is active by default. Tabs switch the chart’s data, labels, and annotations without a page transition.</w:t>
      </w:r>
    </w:p>
    <w:p>
      <w:pPr>
        <w:pStyle w:val="ListParagraph"/>
        <w:numPr>
          <w:ilvl w:val="0"/>
          <w:numId w:val="2"/>
        </w:numPr>
        <w:spacing w:after="80" w:line="276"/>
      </w:pPr>
      <w:r>
        <w:rPr>
          <w:rFonts w:ascii="Arial" w:cs="Arial" w:eastAsia="Arial" w:hAnsi="Arial"/>
          <w:b/>
          <w:bCs/>
          <w:color w:val="333333"/>
          <w:sz w:val="21"/>
          <w:szCs w:val="21"/>
        </w:rPr>
        <w:t xml:space="preserve">Zone 3 — The calculator (primary content). </w:t>
      </w:r>
      <w:r>
        <w:rPr>
          <w:rFonts w:ascii="Arial" w:cs="Arial" w:eastAsia="Arial" w:hAnsi="Arial"/>
          <w:color w:val="333333"/>
          <w:sz w:val="21"/>
          <w:szCs w:val="21"/>
        </w:rPr>
        <w:t xml:space="preserve">This is the core: slider + chart + animated counters. Occupies 60–70% of the viewport. Detailed layout in Section 4.</w:t>
      </w:r>
    </w:p>
    <w:p>
      <w:pPr>
        <w:pStyle w:val="ListParagraph"/>
        <w:numPr>
          <w:ilvl w:val="0"/>
          <w:numId w:val="2"/>
        </w:numPr>
        <w:spacing w:after="80" w:line="276"/>
      </w:pPr>
      <w:r>
        <w:rPr>
          <w:rFonts w:ascii="Arial" w:cs="Arial" w:eastAsia="Arial" w:hAnsi="Arial"/>
          <w:b/>
          <w:bCs/>
          <w:color w:val="333333"/>
          <w:sz w:val="21"/>
          <w:szCs w:val="21"/>
        </w:rPr>
        <w:t xml:space="preserve">Zone 4 — Insight annotations. </w:t>
      </w:r>
      <w:r>
        <w:rPr>
          <w:rFonts w:ascii="Arial" w:cs="Arial" w:eastAsia="Arial" w:hAnsi="Arial"/>
          <w:color w:val="333333"/>
          <w:sz w:val="21"/>
          <w:szCs w:val="21"/>
        </w:rPr>
        <w:t xml:space="preserve">Below the chart: 2–3 key insight cards that contextualize the current slider position (e.g., "At 99.99%, you need a team of 4–8 SREs"). These update as the slider moves.</w:t>
      </w:r>
    </w:p>
    <w:p>
      <w:pPr>
        <w:pStyle w:val="ListParagraph"/>
        <w:numPr>
          <w:ilvl w:val="0"/>
          <w:numId w:val="2"/>
        </w:numPr>
        <w:spacing w:after="80" w:line="276"/>
      </w:pPr>
      <w:r>
        <w:rPr>
          <w:rFonts w:ascii="Arial" w:cs="Arial" w:eastAsia="Arial" w:hAnsi="Arial"/>
          <w:b/>
          <w:bCs/>
          <w:color w:val="333333"/>
          <w:sz w:val="21"/>
          <w:szCs w:val="21"/>
        </w:rPr>
        <w:t xml:space="preserve">Zone 5 — Methodology footer. </w:t>
      </w:r>
      <w:r>
        <w:rPr>
          <w:rFonts w:ascii="Arial" w:cs="Arial" w:eastAsia="Arial" w:hAnsi="Arial"/>
          <w:color w:val="333333"/>
          <w:sz w:val="21"/>
          <w:szCs w:val="21"/>
        </w:rPr>
        <w:t xml:space="preserve">Source attribution, expandable methodology note, DecisionDock branding, and portfolio link. Minimal. Builds credibility without competing for attention.</w:t>
      </w:r>
    </w:p>
    <w:p>
      <w:pPr>
        <w:pStyle w:val="Heading2"/>
        <w:spacing w:before="280" w:after="160"/>
      </w:pPr>
      <w:r>
        <w:rPr>
          <w:rFonts w:ascii="Arial" w:cs="Arial" w:eastAsia="Arial" w:hAnsi="Arial"/>
          <w:b/>
          <w:bCs/>
          <w:color w:val="2E75B6"/>
          <w:sz w:val="24"/>
          <w:szCs w:val="24"/>
        </w:rPr>
        <w:t xml:space="preserve">2.2 Content hierarchy</w:t>
      </w:r>
    </w:p>
    <w:p>
      <w:pPr>
        <w:spacing w:after="160" w:line="276"/>
      </w:pPr>
      <w:r>
        <w:rPr>
          <w:rFonts w:ascii="Arial" w:cs="Arial" w:eastAsia="Arial" w:hAnsi="Arial"/>
          <w:color w:val="333333"/>
          <w:sz w:val="21"/>
          <w:szCs w:val="21"/>
        </w:rPr>
        <w:t xml:space="preserve">The visual weight hierarchy must enforce a strict reading order. The user’s eye should follow this path:</w:t>
      </w:r>
    </w:p>
    <w:p>
      <w:pPr>
        <w:spacing w:after="160" w:line="276"/>
      </w:pPr>
      <w:r>
        <w:rPr>
          <w:rFonts w:ascii="Arial" w:cs="Arial" w:eastAsia="Arial" w:hAnsi="Arial"/>
          <w:i/>
          <w:iCs/>
          <w:color w:val="333333"/>
          <w:sz w:val="21"/>
          <w:szCs w:val="21"/>
        </w:rPr>
        <w:t xml:space="preserve">Chart (largest, most colorful) → Animated cost counter (large number, high contrast) → Slider (interactive affordance) → Tabs (navigation) → Insight cards (supporting context) → Methodology (fine print).</w:t>
      </w:r>
    </w:p>
    <w:p>
      <w:pPr>
        <w:spacing w:after="160" w:line="276"/>
      </w:pPr>
      <w:r>
        <w:rPr>
          <w:rFonts w:ascii="Arial" w:cs="Arial" w:eastAsia="Arial" w:hAnsi="Arial"/>
          <w:color w:val="333333"/>
          <w:sz w:val="21"/>
          <w:szCs w:val="21"/>
        </w:rPr>
        <w:t xml:space="preserve">If the user never reads a word of body text and only interacts with the slider while watching the chart and counter, they should still get the full insight. Every piece of text on the page is optional context, not required comprehension.</w:t>
      </w:r>
    </w:p>
    <w:p>
      <w:pPr>
        <w:spacing w:after="80"/>
      </w:pPr>
    </w:p>
    <w:p>
      <w:pPr>
        <w:pStyle w:val="Heading1"/>
        <w:spacing w:before="360" w:after="200"/>
      </w:pPr>
      <w:r>
        <w:rPr>
          <w:rFonts w:ascii="Arial" w:cs="Arial" w:eastAsia="Arial" w:hAnsi="Arial"/>
          <w:b/>
          <w:bCs/>
          <w:color w:val="1B2A4A"/>
          <w:sz w:val="28"/>
          <w:szCs w:val="28"/>
        </w:rPr>
        <w:t xml:space="preserve">3. The Interaction Model</w:t>
      </w:r>
    </w:p>
    <w:p>
      <w:pPr>
        <w:pStyle w:val="Heading2"/>
        <w:spacing w:before="280" w:after="160"/>
      </w:pPr>
      <w:r>
        <w:rPr>
          <w:rFonts w:ascii="Arial" w:cs="Arial" w:eastAsia="Arial" w:hAnsi="Arial"/>
          <w:b/>
          <w:bCs/>
          <w:color w:val="2E75B6"/>
          <w:sz w:val="24"/>
          <w:szCs w:val="24"/>
        </w:rPr>
        <w:t xml:space="preserve">3.1 The core loop</w:t>
      </w:r>
    </w:p>
    <w:p>
      <w:pPr>
        <w:spacing w:after="160" w:line="276"/>
      </w:pPr>
      <w:r>
        <w:rPr>
          <w:rFonts w:ascii="Arial" w:cs="Arial" w:eastAsia="Arial" w:hAnsi="Arial"/>
          <w:color w:val="333333"/>
          <w:sz w:val="21"/>
          <w:szCs w:val="21"/>
        </w:rPr>
        <w:t xml:space="preserve">The entire product is one interaction loop: </w:t>
      </w:r>
      <w:r>
        <w:rPr>
          <w:rFonts w:ascii="Arial" w:cs="Arial" w:eastAsia="Arial" w:hAnsi="Arial"/>
          <w:b/>
          <w:bCs/>
          <w:color w:val="333333"/>
          <w:sz w:val="21"/>
          <w:szCs w:val="21"/>
        </w:rPr>
        <w:t xml:space="preserve">drag → see → understand</w:t>
      </w:r>
      <w:r>
        <w:rPr>
          <w:rFonts w:ascii="Arial" w:cs="Arial" w:eastAsia="Arial" w:hAnsi="Arial"/>
          <w:color w:val="333333"/>
          <w:sz w:val="21"/>
          <w:szCs w:val="21"/>
        </w:rPr>
        <w:t xml:space="preserve">. This loop must complete in under 3 seconds for a first-time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User action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Drag the slider from left (low target) to right (high target). Or: click anywhere on the slider track to jump. Or: use arrow keys for precise stepping.</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Immediate response (0–16ms)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Slider thumb moves to new position. Chart reference line moves in sync. No perceptible delay.</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Animation response (16–300ms)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Area chart redraws with new gradient fill. Cost counter spring-animates to new value. Secondary metrics update.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Threshold response (300–500ms)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If the slider crosses a key threshold (e.g., from 3 to 4 nines), an annotation callout animates in via Framer Motion AnimatePresence. Example: "⚡ Beyond this point, each nine costs 10× more."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Settling (500ms+)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All animations settle. The view is now stable and screenshot-ready. This is the moment the user reaches for Cmd+Shift+4.</w:t>
            </w:r>
          </w:p>
        </w:tc>
      </w:tr>
    </w:tbl>
    <w:p>
      <w:pPr>
        <w:spacing w:after="80"/>
      </w:pPr>
    </w:p>
    <w:p>
      <w:pPr>
        <w:pStyle w:val="Heading2"/>
        <w:spacing w:before="280" w:after="160"/>
      </w:pPr>
      <w:r>
        <w:rPr>
          <w:rFonts w:ascii="Arial" w:cs="Arial" w:eastAsia="Arial" w:hAnsi="Arial"/>
          <w:b/>
          <w:bCs/>
          <w:color w:val="2E75B6"/>
          <w:sz w:val="24"/>
          <w:szCs w:val="24"/>
        </w:rPr>
        <w:t xml:space="preserve">3.2 The slider in detail</w:t>
      </w:r>
    </w:p>
    <w:p>
      <w:pPr>
        <w:spacing w:after="160" w:line="276"/>
      </w:pPr>
      <w:r>
        <w:rPr>
          <w:rFonts w:ascii="Arial" w:cs="Arial" w:eastAsia="Arial" w:hAnsi="Arial"/>
          <w:color w:val="333333"/>
          <w:sz w:val="21"/>
          <w:szCs w:val="21"/>
        </w:rPr>
        <w:t xml:space="preserve">The slider is the single most important UI element. It must feel </w:t>
      </w:r>
      <w:r>
        <w:rPr>
          <w:rFonts w:ascii="Arial" w:cs="Arial" w:eastAsia="Arial" w:hAnsi="Arial"/>
          <w:i/>
          <w:iCs/>
          <w:color w:val="333333"/>
          <w:sz w:val="21"/>
          <w:szCs w:val="21"/>
        </w:rPr>
        <w:t xml:space="preserve">physically satisfying</w:t>
      </w:r>
      <w:r>
        <w:rPr>
          <w:rFonts w:ascii="Arial" w:cs="Arial" w:eastAsia="Arial" w:hAnsi="Arial"/>
          <w:color w:val="333333"/>
          <w:sz w:val="21"/>
          <w:szCs w:val="21"/>
        </w:rPr>
        <w:t xml:space="preserve"> to drag—responsive, smooth, with just enough resistance to feel intentional.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Component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shadcn/ui Slider (Radix-based). Customized track and thumb styling.</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Track height</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6px (default shadcn is 4px; slightly thicker improves drag target and visual weight).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Thumb size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20px diameter circle. White fill, 2px border in the current zone color (blue/amber/red). Subtle shadow-sm.</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Track gradient</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The track fill changes color as the thumb moves: blue (#3b82f6) in the value zone → amber (#f59e0b) in the diminishing zone → red (#ef4444) in the overspend zone.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Zone thresholds (Uptime)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Blue: 99%–99.9%. Amber: 99.9%–99.99%. Red: 99.99%+.</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Step size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0.1 nines (Uptime). Smooth enough for fluid dragging, discrete enough for keyboard stepping.</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Labels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Min and max labels at track ends. Current value displayed above or beside the thumb in bold.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Keyboard</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Left/Right arrows step by 0.1. Home/End jump to min/max. Fully WCAG 2.1 AA compliant.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Touch</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Enlarged hit target on mobile (44px minimum per WCAG). Smooth touch-drag with no jank.</w:t>
            </w:r>
          </w:p>
        </w:tc>
      </w:tr>
    </w:tbl>
    <w:p>
      <w:pPr>
        <w:spacing w:after="80"/>
      </w:pPr>
    </w:p>
    <w:p>
      <w:pPr>
        <w:pStyle w:val="Heading2"/>
        <w:spacing w:before="280" w:after="160"/>
      </w:pPr>
      <w:r>
        <w:rPr>
          <w:rFonts w:ascii="Arial" w:cs="Arial" w:eastAsia="Arial" w:hAnsi="Arial"/>
          <w:b/>
          <w:bCs/>
          <w:color w:val="2E75B6"/>
          <w:sz w:val="24"/>
          <w:szCs w:val="24"/>
        </w:rPr>
        <w:t xml:space="preserve">3.3 Tab switching</w:t>
      </w:r>
    </w:p>
    <w:p>
      <w:pPr>
        <w:spacing w:after="160" w:line="276"/>
      </w:pPr>
      <w:r>
        <w:rPr>
          <w:rFonts w:ascii="Arial" w:cs="Arial" w:eastAsia="Arial" w:hAnsi="Arial"/>
          <w:color w:val="333333"/>
          <w:sz w:val="21"/>
          <w:szCs w:val="21"/>
        </w:rPr>
        <w:t xml:space="preserve">When a user clicks a different domain tab, the transition must feel seamless, not like navigating to a new page. The chart morphs rather than replaces:</w:t>
      </w:r>
    </w:p>
    <w:p>
      <w:pPr>
        <w:pStyle w:val="ListParagraph"/>
        <w:numPr>
          <w:ilvl w:val="0"/>
          <w:numId w:val="2"/>
        </w:numPr>
        <w:spacing w:after="80" w:line="276"/>
      </w:pPr>
      <w:r>
        <w:rPr>
          <w:rFonts w:ascii="Arial" w:cs="Arial" w:eastAsia="Arial" w:hAnsi="Arial"/>
          <w:color w:val="333333"/>
          <w:sz w:val="21"/>
          <w:szCs w:val="21"/>
        </w:rPr>
        <w:t xml:space="preserve">The area chart’s Y-axis labels crossfade to new values (200ms).</w:t>
      </w:r>
    </w:p>
    <w:p>
      <w:pPr>
        <w:pStyle w:val="ListParagraph"/>
        <w:numPr>
          <w:ilvl w:val="0"/>
          <w:numId w:val="2"/>
        </w:numPr>
        <w:spacing w:after="80" w:line="276"/>
      </w:pPr>
      <w:r>
        <w:rPr>
          <w:rFonts w:ascii="Arial" w:cs="Arial" w:eastAsia="Arial" w:hAnsi="Arial"/>
          <w:color w:val="333333"/>
          <w:sz w:val="21"/>
          <w:szCs w:val="21"/>
        </w:rPr>
        <w:t xml:space="preserve">The X-axis labels crossfade to the new domain scale (200ms).</w:t>
      </w:r>
    </w:p>
    <w:p>
      <w:pPr>
        <w:pStyle w:val="ListParagraph"/>
        <w:numPr>
          <w:ilvl w:val="0"/>
          <w:numId w:val="2"/>
        </w:numPr>
        <w:spacing w:after="80" w:line="276"/>
      </w:pPr>
      <w:r>
        <w:rPr>
          <w:rFonts w:ascii="Arial" w:cs="Arial" w:eastAsia="Arial" w:hAnsi="Arial"/>
          <w:color w:val="333333"/>
          <w:sz w:val="21"/>
          <w:szCs w:val="21"/>
        </w:rPr>
        <w:t xml:space="preserve">The area path animates to the new curve shape via Recharts’ built-in transition (300ms ease-out).</w:t>
      </w:r>
    </w:p>
    <w:p>
      <w:pPr>
        <w:pStyle w:val="ListParagraph"/>
        <w:numPr>
          <w:ilvl w:val="0"/>
          <w:numId w:val="2"/>
        </w:numPr>
        <w:spacing w:after="80" w:line="276"/>
      </w:pPr>
      <w:r>
        <w:rPr>
          <w:rFonts w:ascii="Arial" w:cs="Arial" w:eastAsia="Arial" w:hAnsi="Arial"/>
          <w:b/>
          <w:bCs/>
          <w:color w:val="333333"/>
          <w:sz w:val="21"/>
          <w:szCs w:val="21"/>
        </w:rPr>
        <w:t xml:space="preserve">The slider resets to the new domain’s default value </w:t>
      </w:r>
      <w:r>
        <w:rPr>
          <w:rFonts w:ascii="Arial" w:cs="Arial" w:eastAsia="Arial" w:hAnsi="Arial"/>
          <w:color w:val="333333"/>
          <w:sz w:val="21"/>
          <w:szCs w:val="21"/>
        </w:rPr>
        <w:t xml:space="preserve">(e.g., 99.9% for Uptime, $25K for Marketing). Both state values (activeDomain and sliderValue) update atomically in a single event handler to prevent intermediate render states.</w:t>
      </w:r>
    </w:p>
    <w:p>
      <w:pPr>
        <w:pStyle w:val="ListParagraph"/>
        <w:numPr>
          <w:ilvl w:val="0"/>
          <w:numId w:val="2"/>
        </w:numPr>
        <w:spacing w:after="80" w:line="276"/>
      </w:pPr>
      <w:r>
        <w:rPr>
          <w:rFonts w:ascii="Arial" w:cs="Arial" w:eastAsia="Arial" w:hAnsi="Arial"/>
          <w:color w:val="333333"/>
          <w:sz w:val="21"/>
          <w:szCs w:val="21"/>
        </w:rPr>
        <w:t xml:space="preserve">The cost counter spring-animates to the cost at the new domain’s default value (not an "equivalent" position — domains have different scales, so equivalence is meaningless).</w:t>
      </w:r>
    </w:p>
    <w:p>
      <w:pPr>
        <w:pStyle w:val="ListParagraph"/>
        <w:numPr>
          <w:ilvl w:val="0"/>
          <w:numId w:val="2"/>
        </w:numPr>
        <w:spacing w:after="80" w:line="276"/>
      </w:pPr>
      <w:r>
        <w:rPr>
          <w:rFonts w:ascii="Arial" w:cs="Arial" w:eastAsia="Arial" w:hAnsi="Arial"/>
          <w:color w:val="333333"/>
          <w:sz w:val="21"/>
          <w:szCs w:val="21"/>
        </w:rPr>
        <w:t xml:space="preserve">Insight cards below the chart crossfade to new domain-specific content (200ms).</w:t>
      </w:r>
    </w:p>
    <w:p>
      <w:pPr>
        <w:spacing w:after="160" w:line="276"/>
      </w:pPr>
      <w:r>
        <w:rPr>
          <w:rFonts w:ascii="Arial" w:cs="Arial" w:eastAsia="Arial" w:hAnsi="Arial"/>
          <w:color w:val="333333"/>
          <w:sz w:val="21"/>
          <w:szCs w:val="21"/>
        </w:rPr>
        <w:t xml:space="preserve">The goal is that the user perceives one chart </w:t>
      </w:r>
      <w:r>
        <w:rPr>
          <w:rFonts w:ascii="Arial" w:cs="Arial" w:eastAsia="Arial" w:hAnsi="Arial"/>
          <w:i/>
          <w:iCs/>
          <w:color w:val="333333"/>
          <w:sz w:val="21"/>
          <w:szCs w:val="21"/>
        </w:rPr>
        <w:t xml:space="preserve">shape-shifting</w:t>
      </w:r>
      <w:r>
        <w:rPr>
          <w:rFonts w:ascii="Arial" w:cs="Arial" w:eastAsia="Arial" w:hAnsi="Arial"/>
          <w:color w:val="333333"/>
          <w:sz w:val="21"/>
          <w:szCs w:val="21"/>
        </w:rPr>
        <w:t xml:space="preserve"> between domains, reinforcing the universality insight: "It’s the same curve everywhere."</w:t>
      </w:r>
    </w:p>
    <w:p>
      <w:pPr>
        <w:spacing w:after="80"/>
      </w:pPr>
    </w:p>
    <w:p>
      <w:pPr>
        <w:pStyle w:val="Heading1"/>
        <w:spacing w:before="360" w:after="200"/>
      </w:pPr>
      <w:r>
        <w:rPr>
          <w:rFonts w:ascii="Arial" w:cs="Arial" w:eastAsia="Arial" w:hAnsi="Arial"/>
          <w:b/>
          <w:bCs/>
          <w:color w:val="1B2A4A"/>
          <w:sz w:val="28"/>
          <w:szCs w:val="28"/>
        </w:rPr>
        <w:t xml:space="preserve">4. Layout Architecture</w:t>
      </w:r>
    </w:p>
    <w:p>
      <w:pPr>
        <w:pStyle w:val="Heading2"/>
        <w:spacing w:before="280" w:after="160"/>
      </w:pPr>
      <w:r>
        <w:rPr>
          <w:rFonts w:ascii="Arial" w:cs="Arial" w:eastAsia="Arial" w:hAnsi="Arial"/>
          <w:b/>
          <w:bCs/>
          <w:color w:val="2E75B6"/>
          <w:sz w:val="24"/>
          <w:szCs w:val="24"/>
        </w:rPr>
        <w:t xml:space="preserve">4.1 Wireframe reference</w:t>
      </w:r>
    </w:p>
    <w:p>
      <w:pPr>
        <w:spacing w:after="160" w:line="276"/>
      </w:pPr>
      <w:r>
        <w:rPr>
          <w:rFonts w:ascii="Arial" w:cs="Arial" w:eastAsia="Arial" w:hAnsi="Arial"/>
          <w:color w:val="333333"/>
          <w:sz w:val="21"/>
          <w:szCs w:val="21"/>
        </w:rPr>
        <w:t xml:space="preserve">The following diagram shows the spatial relationships between all five zones on desktop. All subsequent layout specifications refer back to this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D0D5DD" w:sz="1"/>
              <w:right w:val="single" w:color="2E75B6" w:sz="2"/>
            </w:tcBorders>
            <w:shd w:fill="F2F4F7" w:val="clear"/>
            <w:tcMar>
              <w:top w:type="dxa" w:w="60"/>
              <w:left w:type="dxa" w:w="120"/>
              <w:bottom w:type="dxa" w:w="60"/>
              <w:right w:type="dxa" w:w="120"/>
            </w:tcMar>
          </w:tcPr>
          <w:p>
            <w:pPr>
              <w:spacing w:after="0"/>
              <w:jc w:val="center"/>
            </w:pPr>
            <w:r>
              <w:rPr>
                <w:rFonts w:ascii="Arial" w:cs="Arial" w:eastAsia="Arial" w:hAnsi="Arial"/>
                <w:color w:val="555555"/>
                <w:sz w:val="18"/>
                <w:szCs w:val="18"/>
              </w:rPr>
              <w:t xml:space="preserve">ZONE 1: Hero Headline  —  "What does the next nine actually cost?"  (~80px)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2E75B6" w:sz="2"/>
              <w:bottom w:val="single" w:color="D0D5DD" w:sz="1"/>
              <w:right w:val="single" w:color="2E75B6" w:sz="2"/>
            </w:tcBorders>
            <w:shd w:fill="FFFFFF" w:val="clear"/>
            <w:tcMar>
              <w:top w:type="dxa" w:w="40"/>
              <w:left w:type="dxa" w:w="120"/>
              <w:bottom w:type="dxa" w:w="40"/>
              <w:right w:type="dxa" w:w="120"/>
            </w:tcMar>
          </w:tcPr>
          <w:p>
            <w:pPr>
              <w:spacing w:after="0"/>
              <w:jc w:val="center"/>
            </w:pPr>
            <w:r>
              <w:rPr>
                <w:rFonts w:ascii="Arial" w:cs="Arial" w:eastAsia="Arial" w:hAnsi="Arial"/>
                <w:color w:val="555555"/>
                <w:sz w:val="18"/>
                <w:szCs w:val="18"/>
              </w:rPr>
              <w:t xml:space="preserve">ZONE 2: Domain Tabs  —  [ Uptime | Marketing | Coverage | CSAT ]  (~48px)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4"/>
        <w:gridCol w:w="3276"/>
      </w:tblGrid>
      <w:tr>
        <w:tc>
          <w:tcPr>
            <w:tcW w:type="dxa" w:w="6084"/>
            <w:tcBorders>
              <w:top w:val="single" w:color="D0D5DD" w:sz="1"/>
              <w:left w:val="single" w:color="2E75B6" w:sz="2"/>
              <w:bottom w:val="single" w:color="D0D5DD" w:sz="1"/>
              <w:right w:val="single" w:color="D0D5DD" w:sz="1"/>
            </w:tcBorders>
            <w:shd w:fill="E8F0FE" w:val="clear"/>
            <w:tcMar>
              <w:top w:type="dxa" w:w="200"/>
              <w:left w:type="dxa" w:w="120"/>
              <w:bottom w:type="dxa" w:w="200"/>
              <w:right w:type="dxa" w:w="120"/>
            </w:tcMar>
          </w:tcPr>
          <w:p>
            <w:pPr>
              <w:spacing w:after="40"/>
              <w:jc w:val="center"/>
            </w:pPr>
            <w:r>
              <w:rPr>
                <w:rFonts w:ascii="Arial" w:cs="Arial" w:eastAsia="Arial" w:hAnsi="Arial"/>
                <w:b/>
                <w:bCs/>
                <w:color w:val="1B2A4A"/>
                <w:sz w:val="18"/>
                <w:szCs w:val="18"/>
              </w:rPr>
              <w:t xml:space="preserve">ZONE 3a: Cost Curve Chart (65%)</w:t>
            </w:r>
          </w:p>
          <w:p>
            <w:pPr>
              <w:spacing w:after="40"/>
              <w:jc w:val="center"/>
            </w:pPr>
            <w:r>
              <w:rPr>
                <w:rFonts w:ascii="Arial" w:cs="Arial" w:eastAsia="Arial" w:hAnsi="Arial"/>
                <w:color w:val="555555"/>
                <w:sz w:val="16"/>
                <w:szCs w:val="16"/>
              </w:rPr>
              <w:t xml:space="preserve">Recharts AreaChart with gradient fill</w:t>
            </w:r>
          </w:p>
          <w:p>
            <w:pPr>
              <w:spacing w:after="40"/>
              <w:jc w:val="center"/>
            </w:pPr>
            <w:r>
              <w:rPr>
                <w:rFonts w:ascii="Arial" w:cs="Arial" w:eastAsia="Arial" w:hAnsi="Arial"/>
                <w:color w:val="555555"/>
                <w:sz w:val="16"/>
                <w:szCs w:val="16"/>
              </w:rPr>
              <w:t xml:space="preserve">Internal title + source attribution</w:t>
            </w:r>
          </w:p>
          <w:p>
            <w:pPr>
              <w:spacing w:after="0"/>
              <w:jc w:val="center"/>
            </w:pPr>
            <w:r>
              <w:rPr>
                <w:rFonts w:ascii="Arial" w:cs="Arial" w:eastAsia="Arial" w:hAnsi="Arial"/>
                <w:color w:val="555555"/>
                <w:sz w:val="16"/>
                <w:szCs w:val="16"/>
              </w:rPr>
              <w:t xml:space="preserve">Min height: 350–400px</w:t>
            </w:r>
          </w:p>
        </w:tc>
        <w:tc>
          <w:tcPr>
            <w:tcW w:type="dxa" w:w="3276"/>
            <w:tcBorders>
              <w:top w:val="single" w:color="D0D5DD" w:sz="1"/>
              <w:left w:val="single" w:color="D0D5DD" w:sz="1"/>
              <w:bottom w:val="single" w:color="D0D5DD" w:sz="1"/>
              <w:right w:val="single" w:color="2E75B6" w:sz="2"/>
            </w:tcBorders>
            <w:shd w:fill="FFF8E1" w:val="clear"/>
            <w:tcMar>
              <w:top w:type="dxa" w:w="200"/>
              <w:left w:type="dxa" w:w="120"/>
              <w:bottom w:type="dxa" w:w="200"/>
              <w:right w:type="dxa" w:w="120"/>
            </w:tcMar>
          </w:tcPr>
          <w:p>
            <w:pPr>
              <w:spacing w:after="40"/>
              <w:jc w:val="center"/>
            </w:pPr>
            <w:r>
              <w:rPr>
                <w:rFonts w:ascii="Arial" w:cs="Arial" w:eastAsia="Arial" w:hAnsi="Arial"/>
                <w:b/>
                <w:bCs/>
                <w:color w:val="1B2A4A"/>
                <w:sz w:val="18"/>
                <w:szCs w:val="18"/>
              </w:rPr>
              <w:t xml:space="preserve">ZONE 3b: Results Panel (35%)</w:t>
            </w:r>
          </w:p>
          <w:p>
            <w:pPr>
              <w:spacing w:after="40"/>
              <w:jc w:val="center"/>
            </w:pPr>
            <w:r>
              <w:rPr>
                <w:rFonts w:ascii="JetBrains Mono" w:cs="JetBrains Mono" w:eastAsia="JetBrains Mono" w:hAnsi="JetBrains Mono"/>
                <w:b/>
                <w:bCs/>
                <w:color w:val="333333"/>
                <w:sz w:val="22"/>
                <w:szCs w:val="22"/>
              </w:rPr>
              <w:t xml:space="preserve">$500,000</w:t>
            </w:r>
          </w:p>
          <w:p>
            <w:pPr>
              <w:spacing w:after="40"/>
              <w:jc w:val="center"/>
            </w:pPr>
            <w:r>
              <w:rPr>
                <w:rFonts w:ascii="Arial" w:cs="Arial" w:eastAsia="Arial" w:hAnsi="Arial"/>
                <w:color w:val="555555"/>
                <w:sz w:val="16"/>
                <w:szCs w:val="16"/>
              </w:rPr>
              <w:t xml:space="preserve">─── Slider ───</w:t>
            </w:r>
          </w:p>
          <w:p>
            <w:pPr>
              <w:spacing w:after="0"/>
              <w:jc w:val="center"/>
            </w:pPr>
            <w:r>
              <w:rPr>
                <w:rFonts w:ascii="Arial" w:cs="Arial" w:eastAsia="Arial" w:hAnsi="Arial"/>
                <w:color w:val="555555"/>
                <w:sz w:val="16"/>
                <w:szCs w:val="16"/>
              </w:rPr>
              <w:t xml:space="preserve">Secondary metrics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2E75B6" w:sz="2"/>
              <w:bottom w:val="single" w:color="D0D5DD" w:sz="1"/>
              <w:right w:val="single" w:color="2E75B6" w:sz="2"/>
            </w:tcBorders>
            <w:shd w:fill="FFFFFF" w:val="clear"/>
            <w:tcMar>
              <w:top w:type="dxa" w:w="60"/>
              <w:left w:type="dxa" w:w="120"/>
              <w:bottom w:type="dxa" w:w="60"/>
              <w:right w:type="dxa" w:w="120"/>
            </w:tcMar>
          </w:tcPr>
          <w:p>
            <w:pPr>
              <w:spacing w:after="0"/>
              <w:jc w:val="center"/>
            </w:pPr>
            <w:r>
              <w:rPr>
                <w:rFonts w:ascii="Arial" w:cs="Arial" w:eastAsia="Arial" w:hAnsi="Arial"/>
                <w:color w:val="555555"/>
                <w:sz w:val="18"/>
                <w:szCs w:val="18"/>
              </w:rPr>
              <w:t xml:space="preserve">ZONE 4: Insight Cards  —  2–3 threshold-aware annotation cards (animate on slider cross)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2E75B6" w:sz="2"/>
              <w:bottom w:val="single" w:color="2E75B6" w:sz="2"/>
              <w:right w:val="single" w:color="2E75B6" w:sz="2"/>
            </w:tcBorders>
            <w:shd w:fill="F2F4F7" w:val="clear"/>
            <w:tcMar>
              <w:top w:type="dxa" w:w="40"/>
              <w:left w:type="dxa" w:w="120"/>
              <w:bottom w:type="dxa" w:w="40"/>
              <w:right w:type="dxa" w:w="120"/>
            </w:tcMar>
          </w:tcPr>
          <w:p>
            <w:pPr>
              <w:spacing w:after="0"/>
              <w:jc w:val="center"/>
            </w:pPr>
            <w:r>
              <w:rPr>
                <w:rFonts w:ascii="Arial" w:cs="Arial" w:eastAsia="Arial" w:hAnsi="Arial"/>
                <w:color w:val="555555"/>
                <w:sz w:val="18"/>
                <w:szCs w:val="18"/>
              </w:rPr>
              <w:t xml:space="preserve">ZONE 5: Methodology Footer  —  Source attribution + DecisionDock branding</w:t>
            </w:r>
          </w:p>
        </w:tc>
      </w:tr>
    </w:tbl>
    <w:p>
      <w:pPr>
        <w:spacing w:after="120"/>
      </w:pPr>
    </w:p>
    <w:p>
      <w:pPr>
        <w:pStyle w:val="Heading2"/>
        <w:spacing w:before="280" w:after="160"/>
      </w:pPr>
      <w:r>
        <w:rPr>
          <w:rFonts w:ascii="Arial" w:cs="Arial" w:eastAsia="Arial" w:hAnsi="Arial"/>
          <w:b/>
          <w:bCs/>
          <w:color w:val="2E75B6"/>
          <w:sz w:val="24"/>
          <w:szCs w:val="24"/>
        </w:rPr>
        <w:t xml:space="preserve">4.2 Desktop layout (≥1024px)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Left column (65%)</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The chart. Full-width Recharts AreaChart with gradient fill, reference lines, and zone shading. Minimum height: 400px. Aspect ratio approximately 16:9.</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Right column (35%)</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The results panel. Contains: animated cost counter (hero number, 40–48px JetBrains Mono), secondary metrics (downtime saved, marginal cost), and the slider. Stacked vertically in a shadcn Card.</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Column gap</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32px (4 grid units).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Max content width</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1200px, centered. Prevents the chart from stretching absurdly wide on ultrawide monitors.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Horizontal padding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64px on each side at ≥1440px. 32px at 1024–1439px.</w:t>
            </w:r>
          </w:p>
        </w:tc>
      </w:tr>
    </w:tbl>
    <w:p>
      <w:pPr>
        <w:spacing w:after="160" w:line="276"/>
      </w:pPr>
      <w:r>
        <w:rPr>
          <w:rFonts w:ascii="Arial" w:cs="Arial" w:eastAsia="Arial" w:hAnsi="Arial"/>
          <w:b/>
          <w:bCs/>
          <w:color w:val="333333"/>
          <w:sz w:val="21"/>
          <w:szCs w:val="21"/>
        </w:rPr>
        <w:t xml:space="preserve">Why the slider is in the right column, not below the chart: </w:t>
      </w:r>
      <w:r>
        <w:rPr>
          <w:rFonts w:ascii="Arial" w:cs="Arial" w:eastAsia="Arial" w:hAnsi="Arial"/>
          <w:color w:val="333333"/>
          <w:sz w:val="21"/>
          <w:szCs w:val="21"/>
        </w:rPr>
        <w:t xml:space="preserve">When the slider is beside the chart, the user’s eye can track the cause (slider position) and effect (curve shape + cost number) simultaneously without vertical scanning. This spatial proximity is critical for the instant-feedback loop.</w:t>
      </w:r>
    </w:p>
    <w:p>
      <w:pPr>
        <w:pStyle w:val="Heading2"/>
        <w:spacing w:before="280" w:after="160"/>
      </w:pPr>
      <w:r>
        <w:rPr>
          <w:rFonts w:ascii="Arial" w:cs="Arial" w:eastAsia="Arial" w:hAnsi="Arial"/>
          <w:b/>
          <w:bCs/>
          <w:color w:val="2E75B6"/>
          <w:sz w:val="24"/>
          <w:szCs w:val="24"/>
        </w:rPr>
        <w:t xml:space="preserve">4.3 Tablet layout (768–1023px)</w:t>
      </w:r>
    </w:p>
    <w:p>
      <w:pPr>
        <w:spacing w:after="160" w:line="276"/>
      </w:pPr>
      <w:r>
        <w:rPr>
          <w:rFonts w:ascii="Arial" w:cs="Arial" w:eastAsia="Arial" w:hAnsi="Arial"/>
          <w:color w:val="333333"/>
          <w:sz w:val="21"/>
          <w:szCs w:val="21"/>
        </w:rPr>
        <w:t xml:space="preserve">Single-column layout. Chart on top (full width, 350px min height), followed by the results panel (slider + counters) directly below. The insight cards stack into a single column. Tab bar remains horizontal.</w:t>
      </w:r>
    </w:p>
    <w:p>
      <w:pPr>
        <w:pStyle w:val="Heading2"/>
        <w:spacing w:before="280" w:after="160"/>
      </w:pPr>
      <w:r>
        <w:rPr>
          <w:rFonts w:ascii="Arial" w:cs="Arial" w:eastAsia="Arial" w:hAnsi="Arial"/>
          <w:b/>
          <w:bCs/>
          <w:color w:val="2E75B6"/>
          <w:sz w:val="24"/>
          <w:szCs w:val="24"/>
        </w:rPr>
        <w:t xml:space="preserve">4.4 Mobile layout (375–767px)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Chart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Full-width, 280px min height. Y-axis labels abbreviated ($5K, $500K, $5M). Touch-optimized tooltip on tap.</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Results panel</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Full-width below chart. Cost counter at 32px font (down from 48px). Slider at full width with 44px touch target.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Tabs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Horizontal scrollable tab bar if needed. Active tab indicator visible.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Insight cards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Collapsed by default; expandable accordion on mobile to save vertical space.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Horizontal padding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16px on each side.</w:t>
            </w:r>
          </w:p>
        </w:tc>
      </w:tr>
    </w:tbl>
    <w:p>
      <w:pPr>
        <w:pStyle w:val="Heading2"/>
        <w:spacing w:before="280" w:after="160"/>
      </w:pPr>
      <w:r>
        <w:rPr>
          <w:rFonts w:ascii="Arial" w:cs="Arial" w:eastAsia="Arial" w:hAnsi="Arial"/>
          <w:b/>
          <w:bCs/>
          <w:color w:val="2E75B6"/>
          <w:sz w:val="24"/>
          <w:szCs w:val="24"/>
        </w:rPr>
        <w:t xml:space="preserve">4.5 Above-the-fold guarantee</w:t>
      </w:r>
    </w:p>
    <w:p>
      <w:pPr>
        <w:spacing w:after="160" w:line="276"/>
      </w:pPr>
      <w:r>
        <w:rPr>
          <w:rFonts w:ascii="Arial" w:cs="Arial" w:eastAsia="Arial" w:hAnsi="Arial"/>
          <w:color w:val="333333"/>
          <w:sz w:val="21"/>
          <w:szCs w:val="21"/>
        </w:rPr>
        <w:t xml:space="preserve">The PRD’s zero-friction principle requires the full interaction loop (slider + chart + counter) to be visible without scrolling. On a 13" MacBook (the most common screen at FAANG companies), the usable viewport is approximately 680px after browser chrome.</w:t>
      </w:r>
    </w:p>
    <w:p>
      <w:pPr>
        <w:spacing w:after="160" w:line="276"/>
      </w:pPr>
      <w:r>
        <w:rPr>
          <w:rFonts w:ascii="Arial" w:cs="Arial" w:eastAsia="Arial" w:hAnsi="Arial"/>
          <w:color w:val="333333"/>
          <w:sz w:val="21"/>
          <w:szCs w:val="21"/>
        </w:rPr>
        <w:t xml:space="preserve">Budget: Zone 1 (~80px) + Zone 2 (~48px) + Zone 3 padding (~24px) = ~152px of overhead. This leaves ~528px for the chart + results panel. At the desktop chart minimum of 400px, the slider and counter in the sidebar comfortably fit.</w:t>
      </w:r>
    </w:p>
    <w:p>
      <w:pPr>
        <w:spacing w:after="160" w:line="276"/>
      </w:pPr>
      <w:r>
        <w:rPr>
          <w:rFonts w:ascii="Arial" w:cs="Arial" w:eastAsia="Arial" w:hAnsi="Arial"/>
          <w:color w:val="333333"/>
          <w:sz w:val="21"/>
          <w:szCs w:val="21"/>
        </w:rPr>
        <w:t xml:space="preserve">However, on viewports shorter than 800px (e.g., 13" laptop with DevTools open, or an iPad in landscape), the chart minimum height must adapt: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Viewport ≥900px tall</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Chart min-height: 400px. Full layout as specified.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Viewport 700–899px tall</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Chart min-height: 350px. Insight cards (Zone 4) start partially below fold. This is acceptable—they’re supporting context, not core interaction.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Viewport &lt;700px tall</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Chart min-height: 280px. Slider moves above the chart (between tabs and chart) to guarantee the full interaction loop is visible without scrolling. The sidebar layout breaks down at this height and switching to a vertical stack (slider → chart → counter) preserves the interaction.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75B6" w:sz="6"/>
              <w:bottom w:val="none"/>
              <w:right w:val="none"/>
            </w:tcBorders>
            <w:shd w:fill="EBF0F8" w:val="clear"/>
            <w:tcMar>
              <w:top w:type="dxa" w:w="160"/>
              <w:left w:type="dxa" w:w="240"/>
              <w:bottom w:type="dxa" w:w="160"/>
              <w:right w:type="dxa" w:w="240"/>
            </w:tcMar>
          </w:tcPr>
          <w:p>
            <w:pPr>
              <w:spacing w:after="0" w:line="276"/>
            </w:pPr>
            <w:r>
              <w:rPr>
                <w:rFonts w:ascii="Arial" w:cs="Arial" w:eastAsia="Arial" w:hAnsi="Arial"/>
                <w:b/>
                <w:bCs/>
                <w:color w:val="1B2A4A"/>
                <w:sz w:val="21"/>
                <w:szCs w:val="21"/>
              </w:rPr>
              <w:t xml:space="preserve">The rule: </w:t>
            </w:r>
            <w:r>
              <w:rPr>
                <w:rFonts w:ascii="Arial" w:cs="Arial" w:eastAsia="Arial" w:hAnsi="Arial"/>
                <w:color w:val="1B2A4A"/>
                <w:sz w:val="21"/>
                <w:szCs w:val="21"/>
              </w:rPr>
              <w:t xml:space="preserve">The slider, the chart, and the cost counter must all be visible without scrolling on any viewport where the tool is expected to be used. If we have to sacrifice something to fit, sacrifice chart height first, insight cards second. Never sacrifice the slider or counter.</w:t>
            </w:r>
          </w:p>
        </w:tc>
      </w:tr>
    </w:tbl>
    <w:p>
      <w:pPr>
        <w:spacing w:after="80"/>
      </w:pPr>
    </w:p>
    <w:p>
      <w:pPr>
        <w:pStyle w:val="Heading2"/>
        <w:spacing w:before="280" w:after="160"/>
      </w:pPr>
      <w:r>
        <w:rPr>
          <w:rFonts w:ascii="Arial" w:cs="Arial" w:eastAsia="Arial" w:hAnsi="Arial"/>
          <w:b/>
          <w:bCs/>
          <w:color w:val="2E75B6"/>
          <w:sz w:val="24"/>
          <w:szCs w:val="24"/>
        </w:rPr>
        <w:t xml:space="preserve">4.6 The 8px grid</w:t>
      </w:r>
    </w:p>
    <w:p>
      <w:pPr>
        <w:spacing w:after="160" w:line="276"/>
      </w:pPr>
      <w:r>
        <w:rPr>
          <w:rFonts w:ascii="Arial" w:cs="Arial" w:eastAsia="Arial" w:hAnsi="Arial"/>
          <w:color w:val="333333"/>
          <w:sz w:val="21"/>
          <w:szCs w:val="21"/>
        </w:rPr>
        <w:t xml:space="preserve">Every spatial dimension in the interface uses multiples of 8px: 8, 16, 24, 32, 40, 48, 56, 64. Half-steps of 4px are permitted for tight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Card padding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24px (3 units).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Section spacing</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48–64px (6–8 units).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Element gap (within card)</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16px (2 units).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Button height</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40px (5 units). Small variant: 32px (4 units).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Input height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40px.</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Border radius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8px universally. Cards, buttons, inputs, tabs—all 8px.</w:t>
            </w:r>
          </w:p>
        </w:tc>
      </w:tr>
    </w:tbl>
    <w:p>
      <w:pPr>
        <w:spacing w:after="80"/>
      </w:pPr>
    </w:p>
    <w:p>
      <w:pPr>
        <w:pStyle w:val="Heading1"/>
        <w:spacing w:before="360" w:after="200"/>
      </w:pPr>
      <w:r>
        <w:rPr>
          <w:rFonts w:ascii="Arial" w:cs="Arial" w:eastAsia="Arial" w:hAnsi="Arial"/>
          <w:b/>
          <w:bCs/>
          <w:color w:val="1B2A4A"/>
          <w:sz w:val="28"/>
          <w:szCs w:val="28"/>
        </w:rPr>
        <w:t xml:space="preserve">5. Typography</w:t>
      </w:r>
    </w:p>
    <w:p>
      <w:pPr>
        <w:pStyle w:val="Heading2"/>
        <w:spacing w:before="280" w:after="160"/>
      </w:pPr>
      <w:r>
        <w:rPr>
          <w:rFonts w:ascii="Arial" w:cs="Arial" w:eastAsia="Arial" w:hAnsi="Arial"/>
          <w:b/>
          <w:bCs/>
          <w:color w:val="2E75B6"/>
          <w:sz w:val="24"/>
          <w:szCs w:val="24"/>
        </w:rPr>
        <w:t xml:space="preserve">5.1 Font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Primary UI font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Inter. Loaded via Google Fonts or self-hosted. Used for all body text, labels, headings, and navigation.</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Data font</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JetBrains Mono. Used exclusively for: the animated cost counter, chart axis tick labels, and any large numerical display.</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Critical CSS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font-variant-numeric: tabular-nums applied to all numerical displays.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Fallback stack</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Inter, -apple-system, BlinkMacSystemFont, "Segoe UI", sans-serif. JetBrains Mono, "SF Mono", "Fira Code", monospace.</w:t>
            </w:r>
          </w:p>
        </w:tc>
      </w:tr>
    </w:tbl>
    <w:p>
      <w:pPr>
        <w:spacing w:after="80"/>
      </w:pPr>
    </w:p>
    <w:p>
      <w:pPr>
        <w:pStyle w:val="Heading2"/>
        <w:spacing w:before="280" w:after="160"/>
      </w:pPr>
      <w:r>
        <w:rPr>
          <w:rFonts w:ascii="Arial" w:cs="Arial" w:eastAsia="Arial" w:hAnsi="Arial"/>
          <w:b/>
          <w:bCs/>
          <w:color w:val="2E75B6"/>
          <w:sz w:val="24"/>
          <w:szCs w:val="24"/>
        </w:rPr>
        <w:t xml:space="preserve">5.2 Type scale</w:t>
      </w:r>
    </w:p>
    <w:p>
      <w:pPr>
        <w:spacing w:after="160" w:line="276"/>
      </w:pPr>
      <w:r>
        <w:rPr>
          <w:rFonts w:ascii="Arial" w:cs="Arial" w:eastAsia="Arial" w:hAnsi="Arial"/>
          <w:color w:val="333333"/>
          <w:sz w:val="21"/>
          <w:szCs w:val="21"/>
        </w:rPr>
        <w:t xml:space="preserve">Based on a 1.25 ratio (Major Third), anchored at 16px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12px / 0.75rem</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Fine print: methodology attribution, chart source notes, footer. Color: MED (#555555).</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14px / 0.875rem</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Labels: axis labels, slider min/max, badge text, secondary metrics. Color: DARK (#333333).</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16px / 1rem</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Body: insight card text, tab labels, descriptions. Color: DARK. Line-height: 1.6.</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20px / 1.25rem</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Subheadings: insight card titles, section labels. Semi-bold. Color: NAVY.</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24px / 1.5rem</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Section headings: domain template name within the calculator. Bold. Color: NAVY.</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32px / 2rem</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Secondary counter: downtime saved, marginal cost. JetBrains Mono. Bold.</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48px / 3rem</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Hero counter: the animated cost number. JetBrains Mono. Bold. Color by zone.</w:t>
            </w:r>
          </w:p>
        </w:tc>
      </w:tr>
    </w:tbl>
    <w:p>
      <w:pPr>
        <w:spacing w:after="80"/>
      </w:pPr>
    </w:p>
    <w:p>
      <w:pPr>
        <w:pStyle w:val="Heading1"/>
        <w:spacing w:before="360" w:after="200"/>
      </w:pPr>
      <w:r>
        <w:rPr>
          <w:rFonts w:ascii="Arial" w:cs="Arial" w:eastAsia="Arial" w:hAnsi="Arial"/>
          <w:b/>
          <w:bCs/>
          <w:color w:val="1B2A4A"/>
          <w:sz w:val="28"/>
          <w:szCs w:val="28"/>
        </w:rPr>
        <w:t xml:space="preserve">6. Color System</w:t>
      </w:r>
    </w:p>
    <w:p>
      <w:pPr>
        <w:pStyle w:val="Heading2"/>
        <w:spacing w:before="280" w:after="160"/>
      </w:pPr>
      <w:r>
        <w:rPr>
          <w:rFonts w:ascii="Arial" w:cs="Arial" w:eastAsia="Arial" w:hAnsi="Arial"/>
          <w:b/>
          <w:bCs/>
          <w:color w:val="2E75B6"/>
          <w:sz w:val="24"/>
          <w:szCs w:val="24"/>
        </w:rPr>
        <w:t xml:space="preserve">6.1 The diverging palette</w:t>
      </w:r>
    </w:p>
    <w:p>
      <w:pPr>
        <w:spacing w:after="160" w:line="276"/>
      </w:pPr>
      <w:r>
        <w:rPr>
          <w:rFonts w:ascii="Arial" w:cs="Arial" w:eastAsia="Arial" w:hAnsi="Arial"/>
          <w:color w:val="333333"/>
          <w:sz w:val="21"/>
          <w:szCs w:val="21"/>
        </w:rPr>
        <w:t xml:space="preserve">The color system serves one purpose: to encode the cost-benefit position on the diminishing returns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5160"/>
      </w:tblGrid>
      <w:tr>
        <w:tc>
          <w:tcPr>
            <w:tcW w:type="dxa" w:w="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800"/>
            <w:tcBorders>
              <w:top w:val="single" w:color="D0D5DD" w:sz="1"/>
              <w:left w:val="single" w:color="D0D5DD" w:sz="1"/>
              <w:bottom w:val="single" w:color="D0D5DD" w:sz="1"/>
              <w:right w:val="single" w:color="D0D5DD" w:sz="1"/>
            </w:tcBorders>
            <w:shd w:fill="3B82F6" w:val="clear"/>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Blue</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JetBrains Mono" w:cs="JetBrains Mono" w:eastAsia="JetBrains Mono" w:hAnsi="JetBrains Mono"/>
                <w:color w:val="555555"/>
                <w:sz w:val="20"/>
                <w:szCs w:val="20"/>
              </w:rPr>
              <w:t xml:space="preserve">#3B82F6</w:t>
            </w:r>
          </w:p>
        </w:tc>
        <w:tc>
          <w:tcPr>
            <w:tcW w:type="dxa" w:w="5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Value zone. Chart area fill in low-cost region. Slider track. Links.</w:t>
            </w:r>
          </w:p>
        </w:tc>
      </w:tr>
      <w:tr>
        <w:tc>
          <w:tcPr>
            <w:tcW w:type="dxa" w:w="800"/>
            <w:tcBorders>
              <w:top w:val="single" w:color="D0D5DD" w:sz="1"/>
              <w:left w:val="single" w:color="D0D5DD" w:sz="1"/>
              <w:bottom w:val="single" w:color="D0D5DD" w:sz="1"/>
              <w:right w:val="single" w:color="D0D5DD" w:sz="1"/>
            </w:tcBorders>
            <w:shd w:fill="22C55E" w:val="clear"/>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Emerald</w:t>
            </w:r>
          </w:p>
        </w:tc>
        <w:tc>
          <w:tcPr>
            <w:tcW w:type="dxa" w:w="1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color w:val="555555"/>
                <w:sz w:val="20"/>
                <w:szCs w:val="20"/>
              </w:rPr>
              <w:t xml:space="preserve">#22C55E</w:t>
            </w:r>
          </w:p>
        </w:tc>
        <w:tc>
          <w:tcPr>
            <w:tcW w:type="dxa" w:w="5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Savings/benefit. Positive deltas. Savings badges.</w:t>
            </w:r>
          </w:p>
        </w:tc>
      </w:tr>
      <w:tr>
        <w:tc>
          <w:tcPr>
            <w:tcW w:type="dxa" w:w="800"/>
            <w:tcBorders>
              <w:top w:val="single" w:color="D0D5DD" w:sz="1"/>
              <w:left w:val="single" w:color="D0D5DD" w:sz="1"/>
              <w:bottom w:val="single" w:color="D0D5DD" w:sz="1"/>
              <w:right w:val="single" w:color="D0D5DD" w:sz="1"/>
            </w:tcBorders>
            <w:shd w:fill="F59E0B" w:val="clear"/>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Amber</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JetBrains Mono" w:cs="JetBrains Mono" w:eastAsia="JetBrains Mono" w:hAnsi="JetBrains Mono"/>
                <w:color w:val="555555"/>
                <w:sz w:val="20"/>
                <w:szCs w:val="20"/>
              </w:rPr>
              <w:t xml:space="preserve">#F59E0B</w:t>
            </w:r>
          </w:p>
        </w:tc>
        <w:tc>
          <w:tcPr>
            <w:tcW w:type="dxa" w:w="5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Diminishing returns zone. Chart gradient mid-section. Warnings.</w:t>
            </w:r>
          </w:p>
        </w:tc>
      </w:tr>
      <w:tr>
        <w:tc>
          <w:tcPr>
            <w:tcW w:type="dxa" w:w="800"/>
            <w:tcBorders>
              <w:top w:val="single" w:color="D0D5DD" w:sz="1"/>
              <w:left w:val="single" w:color="D0D5DD" w:sz="1"/>
              <w:bottom w:val="single" w:color="D0D5DD" w:sz="1"/>
              <w:right w:val="single" w:color="D0D5DD" w:sz="1"/>
            </w:tcBorders>
            <w:shd w:fill="EF4444" w:val="clear"/>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Red</w:t>
            </w:r>
          </w:p>
        </w:tc>
        <w:tc>
          <w:tcPr>
            <w:tcW w:type="dxa" w:w="1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color w:val="555555"/>
                <w:sz w:val="20"/>
                <w:szCs w:val="20"/>
              </w:rPr>
              <w:t xml:space="preserve">#EF4444</w:t>
            </w:r>
          </w:p>
        </w:tc>
        <w:tc>
          <w:tcPr>
            <w:tcW w:type="dxa" w:w="5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Overspend/waste zone. Chart gradient at high-cost end.</w:t>
            </w:r>
          </w:p>
        </w:tc>
      </w:tr>
      <w:tr>
        <w:tc>
          <w:tcPr>
            <w:tcW w:type="dxa" w:w="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Navy</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JetBrains Mono" w:cs="JetBrains Mono" w:eastAsia="JetBrains Mono" w:hAnsi="JetBrains Mono"/>
                <w:color w:val="555555"/>
                <w:sz w:val="20"/>
                <w:szCs w:val="20"/>
              </w:rPr>
              <w:t xml:space="preserve">#1B2A4A</w:t>
            </w:r>
          </w:p>
        </w:tc>
        <w:tc>
          <w:tcPr>
            <w:tcW w:type="dxa" w:w="5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Primary text. Headings. High-contrast data labels.</w:t>
            </w:r>
          </w:p>
        </w:tc>
      </w:tr>
      <w:tr>
        <w:tc>
          <w:tcPr>
            <w:tcW w:type="dxa" w:w="800"/>
            <w:tcBorders>
              <w:top w:val="single" w:color="D0D5DD" w:sz="1"/>
              <w:left w:val="single" w:color="D0D5DD" w:sz="1"/>
              <w:bottom w:val="single" w:color="D0D5DD" w:sz="1"/>
              <w:right w:val="single" w:color="D0D5DD" w:sz="1"/>
            </w:tcBorders>
            <w:shd w:fill="333333" w:val="clear"/>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Dark Gray</w:t>
            </w:r>
          </w:p>
        </w:tc>
        <w:tc>
          <w:tcPr>
            <w:tcW w:type="dxa" w:w="1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color w:val="555555"/>
                <w:sz w:val="20"/>
                <w:szCs w:val="20"/>
              </w:rPr>
              <w:t xml:space="preserve">#333333</w:t>
            </w:r>
          </w:p>
        </w:tc>
        <w:tc>
          <w:tcPr>
            <w:tcW w:type="dxa" w:w="5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Body text. Secondary headings.</w:t>
            </w:r>
          </w:p>
        </w:tc>
      </w:tr>
      <w:tr>
        <w:tc>
          <w:tcPr>
            <w:tcW w:type="dxa" w:w="800"/>
            <w:tcBorders>
              <w:top w:val="single" w:color="D0D5DD" w:sz="1"/>
              <w:left w:val="single" w:color="D0D5DD" w:sz="1"/>
              <w:bottom w:val="single" w:color="D0D5DD" w:sz="1"/>
              <w:right w:val="single" w:color="D0D5DD" w:sz="1"/>
            </w:tcBorders>
            <w:shd w:fill="555555" w:val="clear"/>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Med Gray</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JetBrains Mono" w:cs="JetBrains Mono" w:eastAsia="JetBrains Mono" w:hAnsi="JetBrains Mono"/>
                <w:color w:val="555555"/>
                <w:sz w:val="20"/>
                <w:szCs w:val="20"/>
              </w:rPr>
              <w:t xml:space="preserve">#555555</w:t>
            </w:r>
          </w:p>
        </w:tc>
        <w:tc>
          <w:tcPr>
            <w:tcW w:type="dxa" w:w="5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Tertiary text. Captions. Methodology notes.</w:t>
            </w:r>
          </w:p>
        </w:tc>
      </w:tr>
      <w:tr>
        <w:tc>
          <w:tcPr>
            <w:tcW w:type="dxa" w:w="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Light Gray</w:t>
            </w:r>
          </w:p>
        </w:tc>
        <w:tc>
          <w:tcPr>
            <w:tcW w:type="dxa" w:w="1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color w:val="555555"/>
                <w:sz w:val="20"/>
                <w:szCs w:val="20"/>
              </w:rPr>
              <w:t xml:space="preserve">#F2F4F7</w:t>
            </w:r>
          </w:p>
        </w:tc>
        <w:tc>
          <w:tcPr>
            <w:tcW w:type="dxa" w:w="5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Page background. Alternating table rows.</w:t>
            </w:r>
          </w:p>
        </w:tc>
      </w:tr>
      <w:tr>
        <w:tc>
          <w:tcPr>
            <w:tcW w:type="dxa" w:w="800"/>
            <w:tcBorders>
              <w:top w:val="single" w:color="D0D5DD" w:sz="1"/>
              <w:left w:val="single" w:color="D0D5DD" w:sz="1"/>
              <w:bottom w:val="single" w:color="D0D5DD" w:sz="1"/>
              <w:right w:val="single" w:color="D0D5DD" w:sz="1"/>
            </w:tcBorders>
            <w:shd w:fill="D0D5DD" w:val="clear"/>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Border Gray</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JetBrains Mono" w:cs="JetBrains Mono" w:eastAsia="JetBrains Mono" w:hAnsi="JetBrains Mono"/>
                <w:color w:val="555555"/>
                <w:sz w:val="20"/>
                <w:szCs w:val="20"/>
              </w:rPr>
              <w:t xml:space="preserve">#D0D5DD</w:t>
            </w:r>
          </w:p>
        </w:tc>
        <w:tc>
          <w:tcPr>
            <w:tcW w:type="dxa" w:w="5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Card borders. Dividers. Chart grid lines.</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White</w:t>
            </w:r>
          </w:p>
        </w:tc>
        <w:tc>
          <w:tcPr>
            <w:tcW w:type="dxa" w:w="1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color w:val="555555"/>
                <w:sz w:val="20"/>
                <w:szCs w:val="20"/>
              </w:rPr>
              <w:t xml:space="preserve">#FFFFFF</w:t>
            </w:r>
          </w:p>
        </w:tc>
        <w:tc>
          <w:tcPr>
            <w:tcW w:type="dxa" w:w="5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Card backgrounds. Chart background.</w:t>
            </w:r>
          </w:p>
        </w:tc>
      </w:tr>
    </w:tbl>
    <w:p>
      <w:pPr>
        <w:spacing w:after="120"/>
      </w:pPr>
    </w:p>
    <w:p>
      <w:pPr>
        <w:pStyle w:val="Heading2"/>
        <w:spacing w:before="280" w:after="160"/>
      </w:pPr>
      <w:r>
        <w:rPr>
          <w:rFonts w:ascii="Arial" w:cs="Arial" w:eastAsia="Arial" w:hAnsi="Arial"/>
          <w:b/>
          <w:bCs/>
          <w:color w:val="2E75B6"/>
          <w:sz w:val="24"/>
          <w:szCs w:val="24"/>
        </w:rPr>
        <w:t xml:space="preserve">6.2 Chart gradient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Stop 1 (0%)</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Blue #3B82F6 at 30% opacity. Value zone.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Stop 2 (50%)</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Amber #F59E0B at 40% opacity. Transition zone.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Stop 3 (100%)</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Red #EF4444 at 50% opacity. Overspend zone.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Stroke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2px solid line transitioning through the same three colors.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Below-threshold shading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Area left of slider uses full gradient. Area right is desaturated (gray at 10% opacity).</w:t>
            </w:r>
          </w:p>
        </w:tc>
      </w:tr>
    </w:tbl>
    <w:p>
      <w:pPr>
        <w:pStyle w:val="Heading2"/>
        <w:spacing w:before="280" w:after="160"/>
      </w:pPr>
      <w:r>
        <w:rPr>
          <w:rFonts w:ascii="Arial" w:cs="Arial" w:eastAsia="Arial" w:hAnsi="Arial"/>
          <w:b/>
          <w:bCs/>
          <w:color w:val="2E75B6"/>
          <w:sz w:val="24"/>
          <w:szCs w:val="24"/>
        </w:rPr>
        <w:t xml:space="preserve">6.3 Accessibility rules</w:t>
      </w:r>
    </w:p>
    <w:p>
      <w:pPr>
        <w:pStyle w:val="ListParagraph"/>
        <w:numPr>
          <w:ilvl w:val="0"/>
          <w:numId w:val="2"/>
        </w:numPr>
        <w:spacing w:after="80" w:line="276"/>
      </w:pPr>
      <w:r>
        <w:rPr>
          <w:rFonts w:ascii="Arial" w:cs="Arial" w:eastAsia="Arial" w:hAnsi="Arial"/>
          <w:color w:val="333333"/>
          <w:sz w:val="21"/>
          <w:szCs w:val="21"/>
        </w:rPr>
        <w:t xml:space="preserve">Never use color as the sole information channel. Every zone is double-encoded with labels or patterns.</w:t>
      </w:r>
    </w:p>
    <w:p>
      <w:pPr>
        <w:pStyle w:val="ListParagraph"/>
        <w:numPr>
          <w:ilvl w:val="0"/>
          <w:numId w:val="2"/>
        </w:numPr>
        <w:spacing w:after="80" w:line="276"/>
      </w:pPr>
      <w:r>
        <w:rPr>
          <w:rFonts w:ascii="Arial" w:cs="Arial" w:eastAsia="Arial" w:hAnsi="Arial"/>
          <w:color w:val="333333"/>
          <w:sz w:val="21"/>
          <w:szCs w:val="21"/>
        </w:rPr>
        <w:t xml:space="preserve">All text meets WCAG 2.1 AA contrast ratio: 4.5:1 for body text, 3:1 for large text.</w:t>
      </w:r>
    </w:p>
    <w:p>
      <w:pPr>
        <w:pStyle w:val="ListParagraph"/>
        <w:numPr>
          <w:ilvl w:val="0"/>
          <w:numId w:val="2"/>
        </w:numPr>
        <w:spacing w:after="80" w:line="276"/>
      </w:pPr>
      <w:r>
        <w:rPr>
          <w:rFonts w:ascii="Arial" w:cs="Arial" w:eastAsia="Arial" w:hAnsi="Arial"/>
          <w:color w:val="333333"/>
          <w:sz w:val="21"/>
          <w:szCs w:val="21"/>
        </w:rPr>
        <w:t xml:space="preserve">Blue/amber/red palette remains distinguishable for deuteranopia and protanopia.</w:t>
      </w:r>
    </w:p>
    <w:p>
      <w:pPr>
        <w:pStyle w:val="ListParagraph"/>
        <w:numPr>
          <w:ilvl w:val="0"/>
          <w:numId w:val="2"/>
        </w:numPr>
        <w:spacing w:after="80" w:line="276"/>
      </w:pPr>
      <w:r>
        <w:rPr>
          <w:rFonts w:ascii="Arial" w:cs="Arial" w:eastAsia="Arial" w:hAnsi="Arial"/>
          <w:color w:val="333333"/>
          <w:sz w:val="21"/>
          <w:szCs w:val="21"/>
        </w:rPr>
        <w:t xml:space="preserve">Interactive elements have visible focus rings (2px offset, blue #3B82F6) for keyboard navigation.</w:t>
      </w:r>
    </w:p>
    <w:p>
      <w:pPr>
        <w:spacing w:after="80"/>
      </w:pPr>
    </w:p>
    <w:p>
      <w:pPr>
        <w:pStyle w:val="Heading1"/>
        <w:spacing w:before="360" w:after="200"/>
      </w:pPr>
      <w:r>
        <w:rPr>
          <w:rFonts w:ascii="Arial" w:cs="Arial" w:eastAsia="Arial" w:hAnsi="Arial"/>
          <w:b/>
          <w:bCs/>
          <w:color w:val="1B2A4A"/>
          <w:sz w:val="28"/>
          <w:szCs w:val="28"/>
        </w:rPr>
        <w:t xml:space="preserve">7. Animation Specifications</w:t>
      </w:r>
    </w:p>
    <w:p>
      <w:pPr>
        <w:pStyle w:val="Heading2"/>
        <w:spacing w:before="280" w:after="160"/>
      </w:pPr>
      <w:r>
        <w:rPr>
          <w:rFonts w:ascii="Arial" w:cs="Arial" w:eastAsia="Arial" w:hAnsi="Arial"/>
          <w:b/>
          <w:bCs/>
          <w:color w:val="2E75B6"/>
          <w:sz w:val="24"/>
          <w:szCs w:val="24"/>
        </w:rPr>
        <w:t xml:space="preserve">7.1 The animated cost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Library</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Framer Motion useSpring + useTransform.</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Spring config</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 mass: 0.8, stiffness: 75, damping: 15 }. ~600–800ms to settle.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Format transform</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useTransform(spring, n =&gt; formatCurrency(Math.round(n))).</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Color transition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Counter text color spring-transitions between zone colors.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Reduced motion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Respect prefers-reduced-motion: reduce. Counter jumps instantly if set.</w:t>
            </w:r>
          </w:p>
        </w:tc>
      </w:tr>
    </w:tbl>
    <w:p>
      <w:pPr>
        <w:spacing w:after="80"/>
      </w:pPr>
    </w:p>
    <w:p>
      <w:pPr>
        <w:pStyle w:val="Heading2"/>
        <w:spacing w:before="280" w:after="160"/>
      </w:pPr>
      <w:r>
        <w:rPr>
          <w:rFonts w:ascii="Arial" w:cs="Arial" w:eastAsia="Arial" w:hAnsi="Arial"/>
          <w:b/>
          <w:bCs/>
          <w:color w:val="2E75B6"/>
          <w:sz w:val="24"/>
          <w:szCs w:val="24"/>
        </w:rPr>
        <w:t xml:space="preserve">7.2 Chart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Area path transition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Recharts built-in: isAnimationActive={true}, animationDuration={300}, animationEasing="ease-out".</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Reference line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Position bound directly to slider state (no additional animation).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Zone shading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ReferenceArea boundaries update instantly.</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Tab switch</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animationDuration={400} for slightly slower, deliberate morphing.</w:t>
            </w:r>
          </w:p>
        </w:tc>
      </w:tr>
    </w:tbl>
    <w:p>
      <w:pPr>
        <w:spacing w:after="80"/>
      </w:pPr>
    </w:p>
    <w:p>
      <w:pPr>
        <w:pStyle w:val="Heading2"/>
        <w:spacing w:before="280" w:after="160"/>
      </w:pPr>
      <w:r>
        <w:rPr>
          <w:rFonts w:ascii="Arial" w:cs="Arial" w:eastAsia="Arial" w:hAnsi="Arial"/>
          <w:b/>
          <w:bCs/>
          <w:color w:val="2E75B6"/>
          <w:sz w:val="24"/>
          <w:szCs w:val="24"/>
        </w:rPr>
        <w:t xml:space="preserve">7.3 Threshold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Trigger</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Slider crosses a predefined threshold.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Enter animation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AnimatePresence. Slide in from right (x: 20→0) with fade. 300ms. Spring: { stiffness: 300, damping: 30 }.</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Exit animation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Fade out in 200ms when slider moves away.</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Position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Below chart in insight cards zone. Pushes other content down smoothly.</w:t>
            </w:r>
          </w:p>
        </w:tc>
      </w:tr>
    </w:tbl>
    <w:p>
      <w:pPr>
        <w:spacing w:after="80"/>
      </w:pPr>
    </w:p>
    <w:p>
      <w:pPr>
        <w:pStyle w:val="Heading2"/>
        <w:spacing w:before="280" w:after="160"/>
      </w:pPr>
      <w:r>
        <w:rPr>
          <w:rFonts w:ascii="Arial" w:cs="Arial" w:eastAsia="Arial" w:hAnsi="Arial"/>
          <w:b/>
          <w:bCs/>
          <w:color w:val="2E75B6"/>
          <w:sz w:val="24"/>
          <w:szCs w:val="24"/>
        </w:rPr>
        <w:t xml:space="preserve">7.4 Micro-interactions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Slider thumb hover</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Scale to 110%. Shadow elevates. 150ms ease-out.</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Tab hover</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Background fades to blue at 5% opacity. 150ms.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Tab active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Bottom border indicator slides horizontally. 200ms ease-out.</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Card hover</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translateY(-2px) + shadow elevation. 150ms ease-out.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Button click</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scale(0.98). 100ms.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Focus rings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2px blue ring, 2px offset. :focus-visible only.</w:t>
            </w:r>
          </w:p>
        </w:tc>
      </w:tr>
    </w:tbl>
    <w:p>
      <w:pPr>
        <w:spacing w:after="80"/>
      </w:pPr>
    </w:p>
    <w:p>
      <w:pPr>
        <w:pStyle w:val="Heading1"/>
        <w:spacing w:before="360" w:after="200"/>
      </w:pPr>
      <w:r>
        <w:rPr>
          <w:rFonts w:ascii="Arial" w:cs="Arial" w:eastAsia="Arial" w:hAnsi="Arial"/>
          <w:b/>
          <w:bCs/>
          <w:color w:val="1B2A4A"/>
          <w:sz w:val="28"/>
          <w:szCs w:val="28"/>
        </w:rPr>
        <w:t xml:space="preserve">8.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Tabs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shadcn/ui Tabs, TabsList, TabsTrigger, TabsContent. Blue active indicator.</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Slider</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shadcn/ui Slider (Radix). Custom track gradient, enlarged thumb, zone color logic.</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Card</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shadcn/ui Card. 24px padding, 8px radius, shadow-sm.</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Badge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shadcn/ui Badge. Zone labels and savings percentages.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ChartContainer</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shadcn/ui chart wrapper around Recharts.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AreaChart</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Recharts AreaChart with Area, XAxis, YAxis, CartesianGrid, ReferenceLine, ReferenceArea, Tooltip.</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AnimatedCounter</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Custom. Framer Motion useSpring + useTransform + motion.span. JetBrains Mono.</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ThresholdAnnotation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Custom. Framer Motion AnimatePresence + motion.div.</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MethodologyNote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Custom. Collapsible section. Contains domain-specific methodology text from PRD Section 5.3.</w:t>
            </w:r>
          </w:p>
        </w:tc>
      </w:tr>
    </w:tbl>
    <w:p>
      <w:pPr>
        <w:spacing w:after="80"/>
      </w:pPr>
    </w:p>
    <w:p>
      <w:pPr>
        <w:pStyle w:val="Heading1"/>
        <w:spacing w:before="360" w:after="200"/>
      </w:pPr>
      <w:r>
        <w:rPr>
          <w:rFonts w:ascii="Arial" w:cs="Arial" w:eastAsia="Arial" w:hAnsi="Arial"/>
          <w:b/>
          <w:bCs/>
          <w:color w:val="1B2A4A"/>
          <w:sz w:val="28"/>
          <w:szCs w:val="28"/>
        </w:rPr>
        <w:t xml:space="preserve">9. Screenshot-Readiness</w:t>
      </w:r>
    </w:p>
    <w:p>
      <w:pPr>
        <w:spacing w:after="160" w:line="276"/>
      </w:pPr>
      <w:r>
        <w:rPr>
          <w:rFonts w:ascii="Arial" w:cs="Arial" w:eastAsia="Arial" w:hAnsi="Arial"/>
          <w:color w:val="333333"/>
          <w:sz w:val="21"/>
          <w:szCs w:val="21"/>
        </w:rPr>
        <w:t xml:space="preserve">The chart, when screenshotted and pasted into a slide deck, must be comprehensible without surrounding context:</w:t>
      </w:r>
    </w:p>
    <w:p>
      <w:pPr>
        <w:pStyle w:val="ListParagraph"/>
        <w:numPr>
          <w:ilvl w:val="0"/>
          <w:numId w:val="2"/>
        </w:numPr>
        <w:spacing w:after="80" w:line="276"/>
      </w:pPr>
      <w:r>
        <w:rPr>
          <w:rFonts w:ascii="Arial" w:cs="Arial" w:eastAsia="Arial" w:hAnsi="Arial"/>
          <w:color w:val="333333"/>
          <w:sz w:val="21"/>
          <w:szCs w:val="21"/>
        </w:rPr>
        <w:t xml:space="preserve">Chart includes its own title (e.g., "Annual Cost of Uptime Targets") inside the chart area.</w:t>
      </w:r>
    </w:p>
    <w:p>
      <w:pPr>
        <w:pStyle w:val="ListParagraph"/>
        <w:numPr>
          <w:ilvl w:val="0"/>
          <w:numId w:val="2"/>
        </w:numPr>
        <w:spacing w:after="80" w:line="276"/>
      </w:pPr>
      <w:r>
        <w:rPr>
          <w:rFonts w:ascii="Arial" w:cs="Arial" w:eastAsia="Arial" w:hAnsi="Arial"/>
          <w:color w:val="333333"/>
          <w:sz w:val="21"/>
          <w:szCs w:val="21"/>
        </w:rPr>
        <w:t xml:space="preserve">Axis labels fully legible at ~2x Retina, pasted at 50–75% size.</w:t>
      </w:r>
    </w:p>
    <w:p>
      <w:pPr>
        <w:pStyle w:val="ListParagraph"/>
        <w:numPr>
          <w:ilvl w:val="0"/>
          <w:numId w:val="2"/>
        </w:numPr>
        <w:spacing w:after="80" w:line="276"/>
      </w:pPr>
      <w:r>
        <w:rPr>
          <w:rFonts w:ascii="Arial" w:cs="Arial" w:eastAsia="Arial" w:hAnsi="Arial"/>
          <w:color w:val="333333"/>
          <w:sz w:val="21"/>
          <w:szCs w:val="21"/>
        </w:rPr>
        <w:t xml:space="preserve">Source attribution visible within the chart’s visual boundary.</w:t>
      </w:r>
    </w:p>
    <w:p>
      <w:pPr>
        <w:pStyle w:val="ListParagraph"/>
        <w:numPr>
          <w:ilvl w:val="0"/>
          <w:numId w:val="2"/>
        </w:numPr>
        <w:spacing w:after="80" w:line="276"/>
      </w:pPr>
      <w:r>
        <w:rPr>
          <w:rFonts w:ascii="Arial" w:cs="Arial" w:eastAsia="Arial" w:hAnsi="Arial"/>
          <w:color w:val="333333"/>
          <w:sz w:val="21"/>
          <w:szCs w:val="21"/>
        </w:rPr>
        <w:t xml:space="preserve">Current slider position’s value displayed as a prominent label on the chart.</w:t>
      </w:r>
    </w:p>
    <w:p>
      <w:pPr>
        <w:pStyle w:val="ListParagraph"/>
        <w:numPr>
          <w:ilvl w:val="0"/>
          <w:numId w:val="2"/>
        </w:numPr>
        <w:spacing w:after="80" w:line="276"/>
      </w:pPr>
      <w:r>
        <w:rPr>
          <w:rFonts w:ascii="Arial" w:cs="Arial" w:eastAsia="Arial" w:hAnsi="Arial"/>
          <w:color w:val="333333"/>
          <w:sz w:val="21"/>
          <w:szCs w:val="21"/>
        </w:rPr>
        <w:t xml:space="preserve">White chart background (not transparent) for clean paste onto any slide.</w:t>
      </w:r>
    </w:p>
    <w:p>
      <w:pPr>
        <w:pStyle w:val="ListParagraph"/>
        <w:numPr>
          <w:ilvl w:val="0"/>
          <w:numId w:val="2"/>
        </w:numPr>
        <w:spacing w:after="80" w:line="276"/>
      </w:pPr>
      <w:r>
        <w:rPr>
          <w:rFonts w:ascii="Arial" w:cs="Arial" w:eastAsia="Arial" w:hAnsi="Arial"/>
          <w:color w:val="333333"/>
          <w:sz w:val="21"/>
          <w:szCs w:val="21"/>
        </w:rPr>
        <w:t xml:space="preserve">No UI chrome within the natural screenshot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75B6" w:sz="6"/>
              <w:bottom w:val="none"/>
              <w:right w:val="none"/>
            </w:tcBorders>
            <w:shd w:fill="EBF0F8" w:val="clear"/>
            <w:tcMar>
              <w:top w:type="dxa" w:w="160"/>
              <w:left w:type="dxa" w:w="240"/>
              <w:bottom w:type="dxa" w:w="160"/>
              <w:right w:type="dxa" w:w="240"/>
            </w:tcMar>
          </w:tcPr>
          <w:p>
            <w:pPr>
              <w:spacing w:after="0" w:line="276"/>
            </w:pPr>
            <w:r>
              <w:rPr>
                <w:rFonts w:ascii="Arial" w:cs="Arial" w:eastAsia="Arial" w:hAnsi="Arial"/>
                <w:b/>
                <w:bCs/>
                <w:color w:val="1B2A4A"/>
                <w:sz w:val="21"/>
                <w:szCs w:val="21"/>
              </w:rPr>
              <w:t xml:space="preserve">The screenshot test: </w:t>
            </w:r>
            <w:r>
              <w:rPr>
                <w:rFonts w:ascii="Arial" w:cs="Arial" w:eastAsia="Arial" w:hAnsi="Arial"/>
                <w:color w:val="1B2A4A"/>
                <w:sz w:val="21"/>
                <w:szCs w:val="21"/>
              </w:rPr>
              <w:t xml:space="preserve">Print the chart at 50% size on a letter-page slide. Can a CFO who has never seen the tool understand what it shows? If yes, the design works.</w:t>
            </w:r>
          </w:p>
        </w:tc>
      </w:tr>
    </w:tbl>
    <w:p>
      <w:pPr>
        <w:spacing w:after="80"/>
      </w:pPr>
    </w:p>
    <w:p>
      <w:pPr>
        <w:pStyle w:val="Heading1"/>
        <w:spacing w:before="360" w:after="200"/>
      </w:pPr>
      <w:r>
        <w:rPr>
          <w:rFonts w:ascii="Arial" w:cs="Arial" w:eastAsia="Arial" w:hAnsi="Arial"/>
          <w:b/>
          <w:bCs/>
          <w:color w:val="1B2A4A"/>
          <w:sz w:val="28"/>
          <w:szCs w:val="28"/>
        </w:rPr>
        <w:t xml:space="preserve">10. Key Design Decisions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Slider in sidebar, not below chart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Spatial proximity eliminates vertical scanning. Peripheral vision catches chart morphing while hands are on slider.</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One slider per template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Multiple sliders require explanation. One slider forces a single, clear interaction path. Customization is P2.</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Spring animation, not tween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Springs incorporate drag velocity, making the counter feel physically real.</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JetBrains Mono for numbers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Monospace digits prevent counter shifting during animation. Signals "this is data."</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Gray-50 page background</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Gives cards subtle lift without aggressive shadows. Used by Linear, Vercel, Notion.</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Tabs, not dropdown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Tabs are immediately visible. User must see other domain names to be tempted to click.</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No dark mode in v1</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Doubles design surface area. Ship light mode polished; dark mode is v2.</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Chart title inside chart area</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External titles get cropped during screenshot. Internal titles travel with the artifact.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Atomic tab switch state update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Both activeDomain and sliderValue update in a single handler to prevent intermediate render with stale slider value on new domain config.</w:t>
            </w:r>
          </w:p>
        </w:tc>
      </w:tr>
    </w:tbl>
    <w:p>
      <w:pPr>
        <w:spacing w:after="80"/>
      </w:pPr>
    </w:p>
    <w:p>
      <w:pPr>
        <w:pStyle w:val="Heading1"/>
        <w:spacing w:before="360" w:after="200"/>
      </w:pPr>
      <w:r>
        <w:rPr>
          <w:rFonts w:ascii="Arial" w:cs="Arial" w:eastAsia="Arial" w:hAnsi="Arial"/>
          <w:b/>
          <w:bCs/>
          <w:color w:val="1B2A4A"/>
          <w:sz w:val="28"/>
          <w:szCs w:val="28"/>
        </w:rPr>
        <w:t xml:space="preserve">11. Next Steps</w:t>
      </w:r>
    </w:p>
    <w:p>
      <w:pPr>
        <w:pStyle w:val="ListParagraph"/>
        <w:numPr>
          <w:ilvl w:val="0"/>
          <w:numId w:val="2"/>
        </w:numPr>
        <w:spacing w:after="80" w:line="276"/>
      </w:pPr>
      <w:r>
        <w:rPr>
          <w:rFonts w:ascii="Arial" w:cs="Arial" w:eastAsia="Arial" w:hAnsi="Arial"/>
          <w:b/>
          <w:bCs/>
          <w:color w:val="333333"/>
          <w:sz w:val="21"/>
          <w:szCs w:val="21"/>
        </w:rPr>
        <w:t xml:space="preserve">Technical Plan </w:t>
      </w:r>
      <w:r>
        <w:rPr>
          <w:rFonts w:ascii="Arial" w:cs="Arial" w:eastAsia="Arial" w:hAnsi="Arial"/>
          <w:color w:val="333333"/>
          <w:sz w:val="21"/>
          <w:szCs w:val="21"/>
        </w:rPr>
        <w:t xml:space="preserve">— Component tree, state management, Recharts configuration, build sequence, and deployment pipeline.</w:t>
      </w:r>
    </w:p>
    <w:p>
      <w:pPr>
        <w:spacing w:after="160" w:line="276"/>
      </w:pPr>
      <w:r>
        <w:rPr>
          <w:rFonts w:ascii="Arial" w:cs="Arial" w:eastAsia="Arial" w:hAnsi="Arial"/>
          <w:color w:val="333333"/>
          <w:sz w:val="21"/>
          <w:szCs w:val="21"/>
        </w:rPr>
        <w:t xml:space="preserve">After Technical Plan approval, build begins immediately against a 1.5–2 week timeline.</w:t>
      </w:r>
    </w:p>
    <w:p>
      <w:pPr>
        <w:spacing w:after="120"/>
      </w:pPr>
    </w:p>
    <w:p>
      <w:pPr>
        <w:pBdr>
          <w:top w:val="single" w:color="2E75B6" w:sz="2" w:space="8"/>
        </w:pBdr>
        <w:spacing w:before="240" w:after="0"/>
        <w:jc w:val="center"/>
      </w:pPr>
      <w:r>
        <w:rPr>
          <w:rFonts w:ascii="Arial" w:cs="Arial" w:eastAsia="Arial" w:hAnsi="Arial"/>
          <w:i/>
          <w:iCs/>
          <w:color w:val="555555"/>
          <w:sz w:val="20"/>
          <w:szCs w:val="20"/>
        </w:rPr>
        <w:t xml:space="preserve">End of Design Document v1.1  •  Next step: Technical Plan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0"/>
      <w:jc w:val="right"/>
    </w:pPr>
    <w:r>
      <w:rPr>
        <w:rFonts w:ascii="Arial" w:cs="Arial" w:eastAsia="Arial" w:hAnsi="Arial"/>
        <w:b/>
        <w:bCs/>
        <w:color w:val="2E75B6"/>
        <w:sz w:val="16"/>
        <w:szCs w:val="16"/>
      </w:rPr>
      <w:t xml:space="preserve">DECISIONDOCK  </w:t>
    </w:r>
    <w:r>
      <w:rPr>
        <w:rFonts w:ascii="Arial" w:cs="Arial" w:eastAsia="Arial" w:hAnsi="Arial"/>
        <w:color w:val="555555"/>
        <w:sz w:val="16"/>
        <w:szCs w:val="16"/>
      </w:rPr>
      <w:t xml:space="preserv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2026-03-01T02:36:41.561Z</dcterms:created>
  <dcterms:modified xsi:type="dcterms:W3CDTF">2026-03-01T02:36:41.562Z</dcterms:modified>
</cp:coreProperties>
</file>

<file path=docProps/custom.xml><?xml version="1.0" encoding="utf-8"?>
<Properties xmlns="http://schemas.openxmlformats.org/officeDocument/2006/custom-properties" xmlns:vt="http://schemas.openxmlformats.org/officeDocument/2006/docPropsVTypes"/>
</file>