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2E75B6"/>
          <w:sz w:val="22"/>
          <w:szCs w:val="22"/>
        </w:rPr>
        <w:t xml:space="preserve">PRODUCT REQUIREMENTS DOCUMENT</w:t>
      </w:r>
    </w:p>
    <w:p>
      <w:pPr>
        <w:spacing w:after="40"/>
      </w:pPr>
      <w:r>
        <w:rPr>
          <w:rFonts w:ascii="Arial" w:cs="Arial" w:eastAsia="Arial" w:hAnsi="Arial"/>
          <w:b/>
          <w:bCs/>
          <w:color w:val="1B2A4A"/>
          <w:sz w:val="40"/>
          <w:szCs w:val="40"/>
        </w:rPr>
        <w:t xml:space="preserve">The Nines Calculator</w:t>
      </w:r>
    </w:p>
    <w:p>
      <w:pPr>
        <w:spacing w:after="240"/>
      </w:pPr>
      <w:r>
        <w:rPr>
          <w:rFonts w:ascii="Arial" w:cs="Arial" w:eastAsia="Arial" w:hAnsi="Arial"/>
          <w:i/>
          <w:iCs/>
          <w:color w:val="555555"/>
          <w:sz w:val="24"/>
          <w:szCs w:val="24"/>
        </w:rPr>
        <w:t xml:space="preserve">v1.1 — Scope, user stories, and requirements for initial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Product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Nines Calculator (DecisionDock)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February 28, 2026</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v1.1 (revised from review)</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Depends 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 Brief v1.0 (approved)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Target Ship</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weeks from start of build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v1.1 changelog: </w:t>
            </w:r>
            <w:r>
              <w:rPr>
                <w:rFonts w:ascii="Arial" w:cs="Arial" w:eastAsia="Arial" w:hAnsi="Arial"/>
                <w:color w:val="1B2A4A"/>
                <w:sz w:val="21"/>
                <w:szCs w:val="21"/>
              </w:rPr>
              <w:t xml:space="preserve">(1) US-12 moved from P1 to P2 to resolve scope exclusion contradiction. (2) Cost model recalibrated: BASE_COST set to $5K, all figures now represent total cost of ownership. (3) Success metrics rewritten into measurable quantitative and qualitative categories. (4) Methodology note text specified for all four domains.</w:t>
            </w:r>
          </w:p>
        </w:tc>
      </w:tr>
    </w:tbl>
    <w:p>
      <w:pPr>
        <w:spacing w:after="200"/>
      </w:pPr>
    </w:p>
    <w:p>
      <w:pPr>
        <w:pStyle w:val="Heading1"/>
        <w:spacing w:before="360" w:after="200"/>
      </w:pPr>
      <w:r>
        <w:rPr>
          <w:rFonts w:ascii="Arial" w:cs="Arial" w:eastAsia="Arial" w:hAnsi="Arial"/>
          <w:b/>
          <w:bCs/>
          <w:color w:val="1B2A4A"/>
          <w:sz w:val="28"/>
          <w:szCs w:val="28"/>
        </w:rPr>
        <w:t xml:space="preserve">1. Product Overview</w:t>
      </w:r>
    </w:p>
    <w:p>
      <w:pPr>
        <w:pStyle w:val="Heading2"/>
        <w:spacing w:before="280" w:after="160"/>
      </w:pPr>
      <w:r>
        <w:rPr>
          <w:rFonts w:ascii="Arial" w:cs="Arial" w:eastAsia="Arial" w:hAnsi="Arial"/>
          <w:b/>
          <w:bCs/>
          <w:color w:val="2E75B6"/>
          <w:sz w:val="24"/>
          <w:szCs w:val="24"/>
        </w:rPr>
        <w:t xml:space="preserve">1.1 One-line description</w:t>
      </w:r>
    </w:p>
    <w:p>
      <w:pPr>
        <w:spacing w:after="160" w:line="276"/>
      </w:pPr>
      <w:r>
        <w:rPr>
          <w:rFonts w:ascii="Arial" w:cs="Arial" w:eastAsia="Arial" w:hAnsi="Arial"/>
          <w:color w:val="333333"/>
          <w:sz w:val="21"/>
          <w:szCs w:val="21"/>
        </w:rPr>
        <w:t xml:space="preserve">An interactive web tool that makes the exponential cost of incremental perfection viscerally obvious through a single slider interaction, designed to produce shareable visual artifacts for executive budget conversations.</w:t>
      </w:r>
    </w:p>
    <w:p>
      <w:pPr>
        <w:pStyle w:val="Heading2"/>
        <w:spacing w:before="280" w:after="160"/>
      </w:pPr>
      <w:r>
        <w:rPr>
          <w:rFonts w:ascii="Arial" w:cs="Arial" w:eastAsia="Arial" w:hAnsi="Arial"/>
          <w:b/>
          <w:bCs/>
          <w:color w:val="2E75B6"/>
          <w:sz w:val="24"/>
          <w:szCs w:val="24"/>
        </w:rPr>
        <w:t xml:space="preserve">1.2 Problem recap (from Problem Brief)</w:t>
      </w:r>
    </w:p>
    <w:p>
      <w:pPr>
        <w:spacing w:after="160" w:line="276"/>
      </w:pPr>
      <w:r>
        <w:rPr>
          <w:rFonts w:ascii="Arial" w:cs="Arial" w:eastAsia="Arial" w:hAnsi="Arial"/>
          <w:color w:val="333333"/>
          <w:sz w:val="21"/>
          <w:szCs w:val="21"/>
        </w:rPr>
        <w:t xml:space="preserve">Engineering leaders systematically overspend on reliability because they cannot make the exponential cost structure visible to the non-technical stakeholders who approve budgets. The core problem is communicational, not computational. No free, interactive tool exists that visualizes diminishing returns with cost implications across multiple domains.</w:t>
      </w:r>
    </w:p>
    <w:p>
      <w:pPr>
        <w:pStyle w:val="Heading2"/>
        <w:spacing w:before="280" w:after="160"/>
      </w:pPr>
      <w:r>
        <w:rPr>
          <w:rFonts w:ascii="Arial" w:cs="Arial" w:eastAsia="Arial" w:hAnsi="Arial"/>
          <w:b/>
          <w:bCs/>
          <w:color w:val="2E75B6"/>
          <w:sz w:val="24"/>
          <w:szCs w:val="24"/>
        </w:rPr>
        <w:t xml:space="preserve">1.3 Solution summary</w:t>
      </w:r>
    </w:p>
    <w:p>
      <w:pPr>
        <w:spacing w:after="160" w:line="276"/>
      </w:pPr>
      <w:r>
        <w:rPr>
          <w:rFonts w:ascii="Arial" w:cs="Arial" w:eastAsia="Arial" w:hAnsi="Arial"/>
          <w:color w:val="333333"/>
          <w:sz w:val="21"/>
          <w:szCs w:val="21"/>
        </w:rPr>
        <w:t xml:space="preserve">A user drags a single slider (target level) and watches an exponential cost curve steepen in real-time while an animated dollar counter shows cost exploding. Four domain templates—Uptime, Marketing Spend, Test Coverage, and CSAT—share one parameterized visualization component. The output is a screenshot-ready chart designed to travel into executive decks, Slack threads, and budget proposals.</w:t>
      </w:r>
    </w:p>
    <w:p>
      <w:pPr>
        <w:pStyle w:val="Heading2"/>
        <w:spacing w:before="280" w:after="160"/>
      </w:pPr>
      <w:r>
        <w:rPr>
          <w:rFonts w:ascii="Arial" w:cs="Arial" w:eastAsia="Arial" w:hAnsi="Arial"/>
          <w:b/>
          <w:bCs/>
          <w:color w:val="2E75B6"/>
          <w:sz w:val="24"/>
          <w:szCs w:val="24"/>
        </w:rPr>
        <w:t xml:space="preserve">1.4 Design principles</w:t>
      </w:r>
    </w:p>
    <w:p>
      <w:pPr>
        <w:spacing w:after="160" w:line="276"/>
      </w:pPr>
      <w:r>
        <w:rPr>
          <w:rFonts w:ascii="Arial" w:cs="Arial" w:eastAsia="Arial" w:hAnsi="Arial"/>
          <w:color w:val="333333"/>
          <w:sz w:val="21"/>
          <w:szCs w:val="21"/>
        </w:rPr>
        <w:t xml:space="preserve">These principles resolve ambiguity whenever we face tradeoff decisions during build. When in doubt, refer back here.</w:t>
      </w:r>
    </w:p>
    <w:p>
      <w:pPr>
        <w:pStyle w:val="ListParagraph"/>
        <w:numPr>
          <w:ilvl w:val="0"/>
          <w:numId w:val="2"/>
        </w:numPr>
        <w:spacing w:after="80" w:line="276"/>
      </w:pPr>
      <w:r>
        <w:rPr>
          <w:rFonts w:ascii="Arial" w:cs="Arial" w:eastAsia="Arial" w:hAnsi="Arial"/>
          <w:b/>
          <w:bCs/>
          <w:color w:val="333333"/>
          <w:sz w:val="21"/>
          <w:szCs w:val="21"/>
        </w:rPr>
        <w:t xml:space="preserve">Interaction over explanation. </w:t>
      </w:r>
      <w:r>
        <w:rPr>
          <w:rFonts w:ascii="Arial" w:cs="Arial" w:eastAsia="Arial" w:hAnsi="Arial"/>
          <w:color w:val="333333"/>
          <w:sz w:val="21"/>
          <w:szCs w:val="21"/>
        </w:rPr>
        <w:t xml:space="preserve">The user should understand the insight by dragging the slider, not by reading text. If we need a paragraph to explain something, we’ve failed.</w:t>
      </w:r>
    </w:p>
    <w:p>
      <w:pPr>
        <w:pStyle w:val="ListParagraph"/>
        <w:numPr>
          <w:ilvl w:val="0"/>
          <w:numId w:val="2"/>
        </w:numPr>
        <w:spacing w:after="80" w:line="276"/>
      </w:pPr>
      <w:r>
        <w:rPr>
          <w:rFonts w:ascii="Arial" w:cs="Arial" w:eastAsia="Arial" w:hAnsi="Arial"/>
          <w:b/>
          <w:bCs/>
          <w:color w:val="333333"/>
          <w:sz w:val="21"/>
          <w:szCs w:val="21"/>
        </w:rPr>
        <w:t xml:space="preserve">The output is the product. </w:t>
      </w:r>
      <w:r>
        <w:rPr>
          <w:rFonts w:ascii="Arial" w:cs="Arial" w:eastAsia="Arial" w:hAnsi="Arial"/>
          <w:color w:val="333333"/>
          <w:sz w:val="21"/>
          <w:szCs w:val="21"/>
        </w:rPr>
        <w:t xml:space="preserve">The screenshot or shared link that travels to a CFO’s inbox matters more than the on-screen experience. Design for how the artifact looks when extracted from context.</w:t>
      </w:r>
    </w:p>
    <w:p>
      <w:pPr>
        <w:pStyle w:val="ListParagraph"/>
        <w:numPr>
          <w:ilvl w:val="0"/>
          <w:numId w:val="2"/>
        </w:numPr>
        <w:spacing w:after="80" w:line="276"/>
      </w:pPr>
      <w:r>
        <w:rPr>
          <w:rFonts w:ascii="Arial" w:cs="Arial" w:eastAsia="Arial" w:hAnsi="Arial"/>
          <w:b/>
          <w:bCs/>
          <w:color w:val="333333"/>
          <w:sz w:val="21"/>
          <w:szCs w:val="21"/>
        </w:rPr>
        <w:t xml:space="preserve">Polish over breadth. </w:t>
      </w:r>
      <w:r>
        <w:rPr>
          <w:rFonts w:ascii="Arial" w:cs="Arial" w:eastAsia="Arial" w:hAnsi="Arial"/>
          <w:color w:val="333333"/>
          <w:sz w:val="21"/>
          <w:szCs w:val="21"/>
        </w:rPr>
        <w:t xml:space="preserve">One domain template that feels production-grade beats four that feel like prototypes. Ship quality, not quantity.</w:t>
      </w:r>
    </w:p>
    <w:p>
      <w:pPr>
        <w:pStyle w:val="ListParagraph"/>
        <w:numPr>
          <w:ilvl w:val="0"/>
          <w:numId w:val="2"/>
        </w:numPr>
        <w:spacing w:after="80" w:line="276"/>
      </w:pPr>
      <w:r>
        <w:rPr>
          <w:rFonts w:ascii="Arial" w:cs="Arial" w:eastAsia="Arial" w:hAnsi="Arial"/>
          <w:b/>
          <w:bCs/>
          <w:color w:val="333333"/>
          <w:sz w:val="21"/>
          <w:szCs w:val="21"/>
        </w:rPr>
        <w:t xml:space="preserve">Credibility through data. </w:t>
      </w:r>
      <w:r>
        <w:rPr>
          <w:rFonts w:ascii="Arial" w:cs="Arial" w:eastAsia="Arial" w:hAnsi="Arial"/>
          <w:color w:val="333333"/>
          <w:sz w:val="21"/>
          <w:szCs w:val="21"/>
        </w:rPr>
        <w:t xml:space="preserve">Every default value must trace back to a published source (Google SRE Book, Gartner, WordStream, ACSI). The calculator earns trust by showing its work.</w:t>
      </w:r>
    </w:p>
    <w:p>
      <w:pPr>
        <w:pStyle w:val="ListParagraph"/>
        <w:numPr>
          <w:ilvl w:val="0"/>
          <w:numId w:val="2"/>
        </w:numPr>
        <w:spacing w:after="80" w:line="276"/>
      </w:pPr>
      <w:r>
        <w:rPr>
          <w:rFonts w:ascii="Arial" w:cs="Arial" w:eastAsia="Arial" w:hAnsi="Arial"/>
          <w:b/>
          <w:bCs/>
          <w:color w:val="333333"/>
          <w:sz w:val="21"/>
          <w:szCs w:val="21"/>
        </w:rPr>
        <w:t xml:space="preserve">Zero friction. </w:t>
      </w:r>
      <w:r>
        <w:rPr>
          <w:rFonts w:ascii="Arial" w:cs="Arial" w:eastAsia="Arial" w:hAnsi="Arial"/>
          <w:color w:val="333333"/>
          <w:sz w:val="21"/>
          <w:szCs w:val="21"/>
        </w:rPr>
        <w:t xml:space="preserve">No signup, no configuration, no onboarding. The tool works above the fold in under 3 seconds. If a user needs instructions, the interaction design has failed.</w:t>
      </w:r>
    </w:p>
    <w:p>
      <w:pPr>
        <w:spacing w:after="80"/>
      </w:pPr>
    </w:p>
    <w:p>
      <w:pPr>
        <w:pStyle w:val="Heading1"/>
        <w:spacing w:before="360" w:after="200"/>
      </w:pPr>
      <w:r>
        <w:rPr>
          <w:rFonts w:ascii="Arial" w:cs="Arial" w:eastAsia="Arial" w:hAnsi="Arial"/>
          <w:b/>
          <w:bCs/>
          <w:color w:val="1B2A4A"/>
          <w:sz w:val="28"/>
          <w:szCs w:val="28"/>
        </w:rPr>
        <w:t xml:space="preserve">2. User Stories</w:t>
      </w:r>
    </w:p>
    <w:p>
      <w:pPr>
        <w:spacing w:after="160" w:line="276"/>
      </w:pPr>
      <w:r>
        <w:rPr>
          <w:rFonts w:ascii="Arial" w:cs="Arial" w:eastAsia="Arial" w:hAnsi="Arial"/>
          <w:color w:val="333333"/>
          <w:sz w:val="21"/>
          <w:szCs w:val="21"/>
        </w:rPr>
        <w:t xml:space="preserve">User stories are prioritized P0 (must ship in v1), P1 (should ship in v1 if time allows), or P2 (future — explicitly out of scope for v1).</w:t>
      </w:r>
    </w:p>
    <w:p>
      <w:pPr>
        <w:pStyle w:val="Heading2"/>
        <w:spacing w:before="280" w:after="160"/>
      </w:pPr>
      <w:r>
        <w:rPr>
          <w:rFonts w:ascii="Arial" w:cs="Arial" w:eastAsia="Arial" w:hAnsi="Arial"/>
          <w:b/>
          <w:bCs/>
          <w:color w:val="2E75B6"/>
          <w:sz w:val="24"/>
          <w:szCs w:val="24"/>
        </w:rPr>
        <w:t xml:space="preserve">2.1 Core interaction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US-1</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drag a slider to set a target availability level (e.g., 99.99%) and instantly see the estimated annual cost update in real-time, so I can grasp the exponential cost relationship without reading anything.</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US-2</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see an animated cost curve that steepens visually as I increase my target, so the diminishing returns pattern is self-evident through the shape of the chart.</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US-3</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see a large, animated dollar counter that counts up as I drag the slider, so the cost explosion is visceral and immediate.</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US-4</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see the downtime saved (in minutes/hours per year) alongside the cost, so I can evaluate whether the marginal improvement justifies the marginal cost.</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US-5</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see contextual annotations at key thresholds (e.g., "Beyond this point, each nine costs 10× more") that appear as I cross them, so the insight is reinforced at critical moments.</w:t>
            </w:r>
          </w:p>
        </w:tc>
        <w:tc>
          <w:tcPr>
            <w:tcW w:type="dxa" w:w="1400"/>
            <w:tcBorders>
              <w:top w:val="single" w:color="D0D5DD" w:sz="1"/>
              <w:left w:val="single" w:color="D0D5DD" w:sz="1"/>
              <w:bottom w:val="single" w:color="D0D5DD" w:sz="1"/>
              <w:right w:val="single" w:color="D0D5DD" w:sz="1"/>
            </w:tcBorders>
            <w:shd w:fill="FFF3E0"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bl>
    <w:p>
      <w:pPr>
        <w:spacing w:after="120"/>
      </w:pPr>
    </w:p>
    <w:p>
      <w:pPr>
        <w:pStyle w:val="Heading2"/>
        <w:spacing w:before="280" w:after="160"/>
      </w:pPr>
      <w:r>
        <w:rPr>
          <w:rFonts w:ascii="Arial" w:cs="Arial" w:eastAsia="Arial" w:hAnsi="Arial"/>
          <w:b/>
          <w:bCs/>
          <w:color w:val="2E75B6"/>
          <w:sz w:val="24"/>
          <w:szCs w:val="24"/>
        </w:rPr>
        <w:t xml:space="preserve">2.2 Cross-domain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US-6</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switch between domain tabs (Uptime, Marketing, Test Coverage, CSAT) and see the same curve shape with domain-appropriate labels and data, so I realize the diminishing returns pattern is universal.</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US-7</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marketing director, I can see my ad spend saturation curve with CPA and ROAS metrics, so I can identify where my marginal dollar stops working.</w:t>
            </w:r>
          </w:p>
        </w:tc>
        <w:tc>
          <w:tcPr>
            <w:tcW w:type="dxa" w:w="1400"/>
            <w:tcBorders>
              <w:top w:val="single" w:color="D0D5DD" w:sz="1"/>
              <w:left w:val="single" w:color="D0D5DD" w:sz="1"/>
              <w:bottom w:val="single" w:color="D0D5DD" w:sz="1"/>
              <w:right w:val="single" w:color="D0D5DD" w:sz="1"/>
            </w:tcBorders>
            <w:shd w:fill="FFF3E0"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US-8</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QA lead, I can see the effort-vs-coverage curve with Google’s published thresholds (60%/75%/90%) marked, so I can justify my team’s coverage target with data.</w:t>
            </w:r>
          </w:p>
        </w:tc>
        <w:tc>
          <w:tcPr>
            <w:tcW w:type="dxa" w:w="1400"/>
            <w:tcBorders>
              <w:top w:val="single" w:color="D0D5DD" w:sz="1"/>
              <w:left w:val="single" w:color="D0D5DD" w:sz="1"/>
              <w:bottom w:val="single" w:color="D0D5DD" w:sz="1"/>
              <w:right w:val="single" w:color="D0D5DD" w:sz="1"/>
            </w:tcBorders>
            <w:shd w:fill="FFF3E0"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US-9</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PM, I can see the CSAT cost curve showing that moving from 80% to 90% costs 3–5× per point while 90%+ costs 10–25×, so I can scope support investments rationally.</w:t>
            </w:r>
          </w:p>
        </w:tc>
        <w:tc>
          <w:tcPr>
            <w:tcW w:type="dxa" w:w="1400"/>
            <w:tcBorders>
              <w:top w:val="single" w:color="D0D5DD" w:sz="1"/>
              <w:left w:val="single" w:color="D0D5DD" w:sz="1"/>
              <w:bottom w:val="single" w:color="D0D5DD" w:sz="1"/>
              <w:right w:val="single" w:color="D0D5DD" w:sz="1"/>
            </w:tcBorders>
            <w:shd w:fill="FFF3E0"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bl>
    <w:p>
      <w:pPr>
        <w:spacing w:after="120"/>
      </w:pPr>
    </w:p>
    <w:p>
      <w:pPr>
        <w:pStyle w:val="Heading2"/>
        <w:spacing w:before="280" w:after="160"/>
      </w:pPr>
      <w:r>
        <w:rPr>
          <w:rFonts w:ascii="Arial" w:cs="Arial" w:eastAsia="Arial" w:hAnsi="Arial"/>
          <w:b/>
          <w:bCs/>
          <w:color w:val="2E75B6"/>
          <w:sz w:val="24"/>
          <w:szCs w:val="24"/>
        </w:rPr>
        <w:t xml:space="preserve">2.3 Communication and sharing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US-10</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screenshot the chart and it looks clean, self-contained, and professional with no UI chrome polluting the visual, so it works when pasted into a Google Slides deck.</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US-11</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VP of Engineering, I can see a brief methodology note (e.g., "Based on Google SRE Book cost models") that gives the chart credibility when shared without me present.</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US-12</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user, I can share a URL that preserves my slider position, so a colleague sees the exact view I intended.</w:t>
            </w:r>
          </w:p>
        </w:tc>
        <w:tc>
          <w:tcPr>
            <w:tcW w:type="dxa" w:w="1400"/>
            <w:tcBorders>
              <w:top w:val="single" w:color="D0D5DD" w:sz="1"/>
              <w:left w:val="single" w:color="D0D5DD" w:sz="1"/>
              <w:bottom w:val="single" w:color="D0D5DD" w:sz="1"/>
              <w:right w:val="single" w:color="D0D5DD" w:sz="1"/>
            </w:tcBorders>
            <w:shd w:fill="EBF0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US-13</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user, I can export the chart as a PNG or SVG image with one click, so I can embed it in documents.</w:t>
            </w:r>
          </w:p>
        </w:tc>
        <w:tc>
          <w:tcPr>
            <w:tcW w:type="dxa" w:w="1400"/>
            <w:tcBorders>
              <w:top w:val="single" w:color="D0D5DD" w:sz="1"/>
              <w:left w:val="single" w:color="D0D5DD" w:sz="1"/>
              <w:bottom w:val="single" w:color="D0D5DD" w:sz="1"/>
              <w:right w:val="single" w:color="D0D5DD" w:sz="1"/>
            </w:tcBorders>
            <w:shd w:fill="EBF0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US-14</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user, I can customize the base cost to match my organization’s actual spend, so the chart reflects our reality rather than generic defaults.</w:t>
            </w:r>
          </w:p>
        </w:tc>
        <w:tc>
          <w:tcPr>
            <w:tcW w:type="dxa" w:w="1400"/>
            <w:tcBorders>
              <w:top w:val="single" w:color="D0D5DD" w:sz="1"/>
              <w:left w:val="single" w:color="D0D5DD" w:sz="1"/>
              <w:bottom w:val="single" w:color="D0D5DD" w:sz="1"/>
              <w:right w:val="single" w:color="D0D5DD" w:sz="1"/>
            </w:tcBorders>
            <w:shd w:fill="EBF0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r>
    </w:tbl>
    <w:p>
      <w:pPr>
        <w:spacing w:after="120"/>
      </w:pPr>
    </w:p>
    <w:p>
      <w:pPr>
        <w:pStyle w:val="Heading2"/>
        <w:spacing w:before="280" w:after="160"/>
      </w:pPr>
      <w:r>
        <w:rPr>
          <w:rFonts w:ascii="Arial" w:cs="Arial" w:eastAsia="Arial" w:hAnsi="Arial"/>
          <w:b/>
          <w:bCs/>
          <w:color w:val="2E75B6"/>
          <w:sz w:val="24"/>
          <w:szCs w:val="24"/>
        </w:rPr>
        <w:t xml:space="preserve">2.4 Portfolio and discovery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US-15</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hiring manager viewing the portfolio, I can see the tool immediately works without loading delays, so it demonstrates the candidate’s technical execution quality.</w:t>
            </w:r>
          </w:p>
        </w:tc>
        <w:tc>
          <w:tcPr>
            <w:tcW w:type="dxa" w:w="1400"/>
            <w:tcBorders>
              <w:top w:val="single" w:color="D0D5DD" w:sz="1"/>
              <w:left w:val="single" w:color="D0D5DD" w:sz="1"/>
              <w:bottom w:val="single" w:color="D0D5DD" w:sz="1"/>
              <w:right w:val="single" w:color="D0D5DD" w:sz="1"/>
            </w:tcBorders>
            <w:shd w:fill="FCECED"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555555"/>
                <w:sz w:val="20"/>
                <w:szCs w:val="20"/>
              </w:rPr>
              <w:t xml:space="preserve">US-16</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portfolio visitor, I can see a subtle DecisionDock branding and link to the broader portfolio, so the tool serves as an entry point to other work.</w:t>
            </w:r>
          </w:p>
        </w:tc>
        <w:tc>
          <w:tcPr>
            <w:tcW w:type="dxa" w:w="1400"/>
            <w:tcBorders>
              <w:top w:val="single" w:color="D0D5DD" w:sz="1"/>
              <w:left w:val="single" w:color="D0D5DD" w:sz="1"/>
              <w:bottom w:val="single" w:color="D0D5DD" w:sz="1"/>
              <w:right w:val="single" w:color="D0D5DD" w:sz="1"/>
            </w:tcBorders>
            <w:shd w:fill="FFF3E0"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US-17</w:t>
            </w:r>
          </w:p>
        </w:tc>
        <w:tc>
          <w:tcPr>
            <w:tcW w:type="dxa" w:w="7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As a search user, I can find this tool when searching "cost of nines calculator" or "diminishing returns calculator," so the SEO positioning captures organic traffic.</w:t>
            </w:r>
          </w:p>
        </w:tc>
        <w:tc>
          <w:tcPr>
            <w:tcW w:type="dxa" w:w="1400"/>
            <w:tcBorders>
              <w:top w:val="single" w:color="D0D5DD" w:sz="1"/>
              <w:left w:val="single" w:color="D0D5DD" w:sz="1"/>
              <w:bottom w:val="single" w:color="D0D5DD" w:sz="1"/>
              <w:right w:val="single" w:color="D0D5DD" w:sz="1"/>
            </w:tcBorders>
            <w:shd w:fill="EBF0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r>
    </w:tbl>
    <w:p>
      <w:pPr>
        <w:spacing w:after="80"/>
      </w:pPr>
    </w:p>
    <w:p>
      <w:pPr>
        <w:pStyle w:val="Heading1"/>
        <w:spacing w:before="360" w:after="200"/>
      </w:pPr>
      <w:r>
        <w:rPr>
          <w:rFonts w:ascii="Arial" w:cs="Arial" w:eastAsia="Arial" w:hAnsi="Arial"/>
          <w:b/>
          <w:bCs/>
          <w:color w:val="1B2A4A"/>
          <w:sz w:val="28"/>
          <w:szCs w:val="28"/>
        </w:rPr>
        <w:t xml:space="preserve">3. Functional Requirements</w:t>
      </w:r>
    </w:p>
    <w:p>
      <w:pPr>
        <w:pStyle w:val="Heading2"/>
        <w:spacing w:before="280" w:after="160"/>
      </w:pPr>
      <w:r>
        <w:rPr>
          <w:rFonts w:ascii="Arial" w:cs="Arial" w:eastAsia="Arial" w:hAnsi="Arial"/>
          <w:b/>
          <w:bCs/>
          <w:color w:val="2E75B6"/>
          <w:sz w:val="24"/>
          <w:szCs w:val="24"/>
        </w:rPr>
        <w:t xml:space="preserve">3.1 The 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Input type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Single continuous slider (shadcn/ui Slider component, Radix-based). Keyboard navigable, accessible.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Uptime range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99% to 99.9999% (2 to 6 nines). Step: 0.1 nines. Default: 99.9% (3 nines).</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Marketing range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$5K to $500K monthly spend. Logarithmic scale. Default: $25K.</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Coverage range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30% to 100%. Linear scale. Step: 1%. Default: 75%.</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CSAT range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50% to 99%. Linear scale. Step: 1%. Default: 76.9% (ACSI national average).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Visual feedback</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Slider thumb changes color from blue → amber → red as it enters the diminishing returns zone.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bl>
    <w:p>
      <w:pPr>
        <w:spacing w:after="120"/>
      </w:pPr>
    </w:p>
    <w:p>
      <w:pPr>
        <w:pStyle w:val="Heading2"/>
        <w:spacing w:before="280" w:after="160"/>
      </w:pPr>
      <w:r>
        <w:rPr>
          <w:rFonts w:ascii="Arial" w:cs="Arial" w:eastAsia="Arial" w:hAnsi="Arial"/>
          <w:b/>
          <w:bCs/>
          <w:color w:val="2E75B6"/>
          <w:sz w:val="24"/>
          <w:szCs w:val="24"/>
        </w:rPr>
        <w:t xml:space="preserve">3.2 The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Chart type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AreaChart with gradient fill. Gradient transitions from blue/green (value zone) through amber (caution) to red (overspend).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Reference line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Vertical reference line at current slider position with label showing the exact nines/level.</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Y-axis (primary)</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Total annual cost in dollars. Formatted with $, commas, and K/M abbreviations.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X-axis</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Target level (nines for uptime, dollars for marketing, percentage for coverage/CSAT).</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Secondary Y-axis</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Downtime saved (uptime), marginal CPA (marketing), bug detection rate (coverage), retention impact (CSAT). Faded line overlaid.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Cost zone shading</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ReferenceArea components shade the background in green (value), amber (diminishing), and red (waste) zones.</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Animation</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built-in animation on area path. Duration: 300ms. Easing: ease-out.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bl>
    <w:p>
      <w:pPr>
        <w:spacing w:after="120"/>
      </w:pPr>
    </w:p>
    <w:p>
      <w:pPr>
        <w:pStyle w:val="Heading2"/>
        <w:spacing w:before="280" w:after="160"/>
      </w:pPr>
      <w:r>
        <w:rPr>
          <w:rFonts w:ascii="Arial" w:cs="Arial" w:eastAsia="Arial" w:hAnsi="Arial"/>
          <w:b/>
          <w:bCs/>
          <w:color w:val="2E75B6"/>
          <w:sz w:val="24"/>
          <w:szCs w:val="24"/>
        </w:rPr>
        <w:t xml:space="preserve">3.3 The animated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Primary counter</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Large animated dollar figure showing total annual cost at current slider position. Uses Framer Motion useSpring.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Animation feel</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Spring physics: mass 0.8, stiffness 75, damping 15. Must feel responsive but not jittery.</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Format</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Dollar sign, commas, no decimals. K/M suffix for large numbers (e.g., $2.5M).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Secondary counter</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Smaller animated figure showing the marginal metric: downtime saved, marginal CPA, effort multiplier, or cost per point.</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Font</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JetBrains Mono for counter digits. font-variant-numeric: tabular-nums for stable digit alignment.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bl>
    <w:p>
      <w:pPr>
        <w:spacing w:after="120"/>
      </w:pPr>
    </w:p>
    <w:p>
      <w:pPr>
        <w:pStyle w:val="Heading2"/>
        <w:spacing w:before="280" w:after="160"/>
      </w:pPr>
      <w:r>
        <w:rPr>
          <w:rFonts w:ascii="Arial" w:cs="Arial" w:eastAsia="Arial" w:hAnsi="Arial"/>
          <w:b/>
          <w:bCs/>
          <w:color w:val="2E75B6"/>
          <w:sz w:val="24"/>
          <w:szCs w:val="24"/>
        </w:rPr>
        <w:t xml:space="preserve">3.4 Domain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Tab navigation</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Tabs component across top of calculator. Uptime | Marketing | Coverage | CSAT.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Uptime template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Cost model: BaseCost × 10^(n-2) where n = nines. BaseCost calibrated to $5K/yr at 2 nines. Represents total cost of ownership (infrastructure + staffing + operational overhead). Anchored to Google SRE Book, AWS pricing, SRE salary data ($236K avg total comp).</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Marketing template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Hill function: response = x^α / (K^α + x^α). α = 1.5, K = $50K. CPA starting at $25 (e-commerce). Anchored to WordStream benchmarks and Saxifrage case study.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Coverage template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Logarithmic effort model. Anchored to Google’s thresholds: 60% acceptable, 75% commendable, 90% exemplary. Effort multipliers: 1× baseline (0–60%), scaling to 10–50× (95–100%).</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CSAT template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Exponential staffing model. Anchored to ACSI national avg (76.9), Bain retention-profit research. Cost per point: 1× at 60%, 3–5× at 80–85%, 10–25× at 90–95%, 25–100× above 95%.</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Shared component</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All four templates use the same parameterized CostCurveChart component. Only axis labels, scale factors, color thresholds, and annotations change per template.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bl>
    <w:p>
      <w:pPr>
        <w:spacing w:after="120"/>
      </w:pPr>
    </w:p>
    <w:p>
      <w:pPr>
        <w:pStyle w:val="Heading2"/>
        <w:spacing w:before="280" w:after="160"/>
      </w:pPr>
      <w:r>
        <w:rPr>
          <w:rFonts w:ascii="Arial" w:cs="Arial" w:eastAsia="Arial" w:hAnsi="Arial"/>
          <w:b/>
          <w:bCs/>
          <w:color w:val="2E75B6"/>
          <w:sz w:val="24"/>
          <w:szCs w:val="24"/>
        </w:rPr>
        <w:t xml:space="preserve">3.5 Methodology and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Source attribution</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Small text below chart stating the specific methodology. Exact text specified in Section 5.3.</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Tooltip detail</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Hovering on chart data points shows exact values: cost, formatted value, and marginal cost delta.</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P1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Methodology link</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"How we calculated this" expandable section containing the formula and source list for each template.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r>
    </w:tbl>
    <w:p>
      <w:pPr>
        <w:spacing w:after="80"/>
      </w:pPr>
    </w:p>
    <w:p>
      <w:pPr>
        <w:pStyle w:val="Heading1"/>
        <w:spacing w:before="360" w:after="200"/>
      </w:pPr>
      <w:r>
        <w:rPr>
          <w:rFonts w:ascii="Arial" w:cs="Arial" w:eastAsia="Arial" w:hAnsi="Arial"/>
          <w:b/>
          <w:bCs/>
          <w:color w:val="1B2A4A"/>
          <w:sz w:val="28"/>
          <w:szCs w:val="28"/>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Initial load</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First meaningful paint (interactive chart visible) in under 2 seconds on 4G connection.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 responsiveness</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Chart and counter must update within 16ms of slider input (60fps). No perceptible lag between drag and visual response.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Mobile responsive</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Full functionality on screens ≥375px wide. Chart remains readable. Slider remains draggable with touch. Single-column layout on mobile.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Accessibility</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WCAG 2.1 AA. Keyboard-navigable slider (arrow keys). Screen reader announces cost values. Color is never the sole information channel.</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Browser support</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Chrome, Firefox, Safari, Edge (latest 2 versions). No IE support.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Screenshot quality</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Chart renders at sufficient resolution for copy-paste into presentation tools. Clean visual with no clipped elements at any slider position.</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DC3545"/>
                <w:sz w:val="20"/>
                <w:szCs w:val="20"/>
              </w:rPr>
              <w:t xml:space="preserve">P0</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SEO</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Semantic HTML, meta tags, Open Graph tags for social sharing previews. Target keywords: "cost of nines calculator," "diminishing returns calculator."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r>
    </w:tbl>
    <w:p>
      <w:pPr>
        <w:spacing w:after="80"/>
      </w:pPr>
    </w:p>
    <w:p>
      <w:pPr>
        <w:pStyle w:val="Heading1"/>
        <w:spacing w:before="360" w:after="200"/>
      </w:pPr>
      <w:r>
        <w:rPr>
          <w:rFonts w:ascii="Arial" w:cs="Arial" w:eastAsia="Arial" w:hAnsi="Arial"/>
          <w:b/>
          <w:bCs/>
          <w:color w:val="1B2A4A"/>
          <w:sz w:val="28"/>
          <w:szCs w:val="28"/>
        </w:rPr>
        <w:t xml:space="preserve">5. Data Model</w:t>
      </w:r>
    </w:p>
    <w:p>
      <w:pPr>
        <w:pStyle w:val="Heading2"/>
        <w:spacing w:before="280" w:after="160"/>
      </w:pPr>
      <w:r>
        <w:rPr>
          <w:rFonts w:ascii="Arial" w:cs="Arial" w:eastAsia="Arial" w:hAnsi="Arial"/>
          <w:b/>
          <w:bCs/>
          <w:color w:val="2E75B6"/>
          <w:sz w:val="24"/>
          <w:szCs w:val="24"/>
        </w:rPr>
        <w:t xml:space="preserve">5.1 Approach: synthetic models calibrated to published benchmarks</w:t>
      </w:r>
    </w:p>
    <w:p>
      <w:pPr>
        <w:spacing w:after="160" w:line="276"/>
      </w:pPr>
      <w:r>
        <w:rPr>
          <w:rFonts w:ascii="Arial" w:cs="Arial" w:eastAsia="Arial" w:hAnsi="Arial"/>
          <w:color w:val="333333"/>
          <w:sz w:val="21"/>
          <w:szCs w:val="21"/>
        </w:rPr>
        <w:t xml:space="preserve">The calculator uses mathematical models with parameters tuned to match published industry data. No real user data, no external API calls, no backend required. All computation runs client-side in the browser. This is intentional: it eliminates signup friction, ensures instant load times, and makes the tool work like a mortgage calculator—trusted because the math is sound and the defaults match reality.</w:t>
      </w:r>
    </w:p>
    <w:p>
      <w:pPr>
        <w:pStyle w:val="Heading2"/>
        <w:spacing w:before="280" w:after="160"/>
      </w:pPr>
      <w:r>
        <w:rPr>
          <w:rFonts w:ascii="Arial" w:cs="Arial" w:eastAsia="Arial" w:hAnsi="Arial"/>
          <w:b/>
          <w:bCs/>
          <w:color w:val="2E75B6"/>
          <w:sz w:val="24"/>
          <w:szCs w:val="24"/>
        </w:rPr>
        <w:t xml:space="preserve">5.2 Model specifications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Total cost of ownership: </w:t>
            </w:r>
            <w:r>
              <w:rPr>
                <w:rFonts w:ascii="Arial" w:cs="Arial" w:eastAsia="Arial" w:hAnsi="Arial"/>
                <w:color w:val="1B2A4A"/>
                <w:sz w:val="21"/>
                <w:szCs w:val="21"/>
              </w:rPr>
              <w:t xml:space="preserve">All cost figures across all domains represent total cost of ownership, not any single line item. For uptime, this includes infrastructure, staffing, operational overhead, and opportunity cost. For marketing, this is total ad spend. For coverage, this is engineering time. For CSAT, this is total support operation cost. The methodology note on each chart makes this explicit.</w:t>
            </w:r>
          </w:p>
        </w:tc>
      </w:tr>
    </w:tbl>
    <w:p>
      <w:pPr>
        <w:spacing w:after="80"/>
      </w:pPr>
    </w:p>
    <w:p>
      <w:pPr>
        <w:spacing w:before="200" w:after="120"/>
      </w:pPr>
      <w:r>
        <w:rPr>
          <w:rFonts w:ascii="Arial" w:cs="Arial" w:eastAsia="Arial" w:hAnsi="Arial"/>
          <w:b/>
          <w:bCs/>
          <w:color w:val="1B2A4A"/>
          <w:sz w:val="22"/>
          <w:szCs w:val="22"/>
        </w:rPr>
        <w:t xml:space="preserve">Uptime</w:t>
      </w:r>
    </w:p>
    <w:p>
      <w:pPr>
        <w:spacing w:after="16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Cost(n) = BaseCost × 10^(n−2), where n = number of nines.</w:t>
      </w:r>
    </w:p>
    <w:p>
      <w:pPr>
        <w:spacing w:after="160" w:line="276"/>
      </w:pPr>
      <w:r>
        <w:rPr>
          <w:rFonts w:ascii="Arial" w:cs="Arial" w:eastAsia="Arial" w:hAnsi="Arial"/>
          <w:b/>
          <w:bCs/>
          <w:color w:val="333333"/>
          <w:sz w:val="21"/>
          <w:szCs w:val="21"/>
        </w:rPr>
        <w:t xml:space="preserve">Base cost: </w:t>
      </w:r>
      <w:r>
        <w:rPr>
          <w:rFonts w:ascii="Arial" w:cs="Arial" w:eastAsia="Arial" w:hAnsi="Arial"/>
          <w:color w:val="333333"/>
          <w:sz w:val="21"/>
          <w:szCs w:val="21"/>
        </w:rPr>
        <w:t xml:space="preserve">$5,000/year at 2 nines (99%). This covers a single-AZ instance with basic monitoring and no dedicated reliability staff.</w:t>
      </w:r>
    </w:p>
    <w:p>
      <w:pPr>
        <w:spacing w:after="160" w:line="276"/>
      </w:pPr>
      <w:r>
        <w:rPr>
          <w:rFonts w:ascii="Arial" w:cs="Arial" w:eastAsia="Arial" w:hAnsi="Arial"/>
          <w:b/>
          <w:bCs/>
          <w:color w:val="333333"/>
          <w:sz w:val="21"/>
          <w:szCs w:val="21"/>
        </w:rPr>
        <w:t xml:space="preserve">Anchor points (total cost of ownership): </w:t>
      </w:r>
      <w:r>
        <w:rPr>
          <w:rFonts w:ascii="Arial" w:cs="Arial" w:eastAsia="Arial" w:hAnsi="Arial"/>
          <w:color w:val="333333"/>
          <w:sz w:val="21"/>
          <w:szCs w:val="21"/>
        </w:rPr>
        <w:t xml:space="preserve">99% = ~$5K (single AZ, basic monitoring, zero SRE headcount); 99.9% = ~$50K (multi-AZ, load balancing, 1–2 DevOps at partial allocation); 99.99% = ~$500K (observability stack, SRE team of 4–8, canary deployments); 99.999% = ~$5M (multi-region active-active, 12–20 SREs, formal incident management); 99.9999% = ~$50M (fault-tolerant hardware, 20–50+ SREs + NOC, &gt;90% dev time on testing).</w:t>
      </w:r>
    </w:p>
    <w:p>
      <w:pPr>
        <w:spacing w:after="160" w:line="276"/>
      </w:pPr>
      <w:r>
        <w:rPr>
          <w:rFonts w:ascii="Arial" w:cs="Arial" w:eastAsia="Arial" w:hAnsi="Arial"/>
          <w:b/>
          <w:bCs/>
          <w:color w:val="333333"/>
          <w:sz w:val="21"/>
          <w:szCs w:val="21"/>
        </w:rPr>
        <w:t xml:space="preserve">Sources: </w:t>
      </w:r>
      <w:r>
        <w:rPr>
          <w:rFonts w:ascii="Arial" w:cs="Arial" w:eastAsia="Arial" w:hAnsi="Arial"/>
          <w:color w:val="333333"/>
          <w:sz w:val="21"/>
          <w:szCs w:val="21"/>
        </w:rPr>
        <w:t xml:space="preserve">Google SRE Book ("Embracing Risk" chapter), Expedia engineering blog (10× per nine validation), AWS Multi-AZ pricing, Glassdoor/Levels.fyi SRE compensation data ($236K avg total comp).</w:t>
      </w:r>
    </w:p>
    <w:p>
      <w:pPr>
        <w:spacing w:before="200" w:after="120"/>
      </w:pPr>
      <w:r>
        <w:rPr>
          <w:rFonts w:ascii="Arial" w:cs="Arial" w:eastAsia="Arial" w:hAnsi="Arial"/>
          <w:b/>
          <w:bCs/>
          <w:color w:val="1B2A4A"/>
          <w:sz w:val="22"/>
          <w:szCs w:val="22"/>
        </w:rPr>
        <w:t xml:space="preserve">Marketing</w:t>
      </w:r>
    </w:p>
    <w:p>
      <w:pPr>
        <w:spacing w:after="16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Conversions = a × Spend^β where β = 0.5–0.7. Alternatively: Hill function response = x^α / (K^α + x^α) with α = 1.5, K = $50K.</w:t>
      </w:r>
    </w:p>
    <w:p>
      <w:pPr>
        <w:spacing w:after="160" w:line="276"/>
      </w:pPr>
      <w:r>
        <w:rPr>
          <w:rFonts w:ascii="Arial" w:cs="Arial" w:eastAsia="Arial" w:hAnsi="Arial"/>
          <w:b/>
          <w:bCs/>
          <w:color w:val="333333"/>
          <w:sz w:val="21"/>
          <w:szCs w:val="21"/>
        </w:rPr>
        <w:t xml:space="preserve">Anchor points: </w:t>
      </w:r>
      <w:r>
        <w:rPr>
          <w:rFonts w:ascii="Arial" w:cs="Arial" w:eastAsia="Arial" w:hAnsi="Arial"/>
          <w:color w:val="333333"/>
          <w:sz w:val="21"/>
          <w:szCs w:val="21"/>
        </w:rPr>
        <w:t xml:space="preserve">$10K/mo = $25 avg CPA; $50K/mo = $37 avg CPA ($55 marginal); $100K/mo = $48 avg CPA ($85 marginal); $500K/mo = $85 avg CPA ($250+ marginal).</w:t>
      </w:r>
    </w:p>
    <w:p>
      <w:pPr>
        <w:spacing w:after="160" w:line="276"/>
      </w:pPr>
      <w:r>
        <w:rPr>
          <w:rFonts w:ascii="Arial" w:cs="Arial" w:eastAsia="Arial" w:hAnsi="Arial"/>
          <w:b/>
          <w:bCs/>
          <w:color w:val="333333"/>
          <w:sz w:val="21"/>
          <w:szCs w:val="21"/>
        </w:rPr>
        <w:t xml:space="preserve">Sources: </w:t>
      </w:r>
      <w:r>
        <w:rPr>
          <w:rFonts w:ascii="Arial" w:cs="Arial" w:eastAsia="Arial" w:hAnsi="Arial"/>
          <w:color w:val="333333"/>
          <w:sz w:val="21"/>
          <w:szCs w:val="21"/>
        </w:rPr>
        <w:t xml:space="preserve">WordStream CPA benchmarks ($48.96 Google Ads average, $18.68 Meta average), Saxifrage Blog Facebook Ads case study, Meta Robyn parameter recommendations (α bounds 0.5–3.0).</w:t>
      </w:r>
    </w:p>
    <w:p>
      <w:pPr>
        <w:spacing w:before="200" w:after="120"/>
      </w:pPr>
      <w:r>
        <w:rPr>
          <w:rFonts w:ascii="Arial" w:cs="Arial" w:eastAsia="Arial" w:hAnsi="Arial"/>
          <w:b/>
          <w:bCs/>
          <w:color w:val="1B2A4A"/>
          <w:sz w:val="22"/>
          <w:szCs w:val="22"/>
        </w:rPr>
        <w:t xml:space="preserve">Test coverage</w:t>
      </w:r>
    </w:p>
    <w:p>
      <w:pPr>
        <w:spacing w:after="16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Effort(c) = baseline × e^(k×c) where c = coverage percentage and k calibrated so effort rises 10–50× from 90% to 100%.</w:t>
      </w:r>
    </w:p>
    <w:p>
      <w:pPr>
        <w:spacing w:after="160" w:line="276"/>
      </w:pPr>
      <w:r>
        <w:rPr>
          <w:rFonts w:ascii="Arial" w:cs="Arial" w:eastAsia="Arial" w:hAnsi="Arial"/>
          <w:b/>
          <w:bCs/>
          <w:color w:val="333333"/>
          <w:sz w:val="21"/>
          <w:szCs w:val="21"/>
        </w:rPr>
        <w:t xml:space="preserve">Anchor points: </w:t>
      </w:r>
      <w:r>
        <w:rPr>
          <w:rFonts w:ascii="Arial" w:cs="Arial" w:eastAsia="Arial" w:hAnsi="Arial"/>
          <w:color w:val="333333"/>
          <w:sz w:val="21"/>
          <w:szCs w:val="21"/>
        </w:rPr>
        <w:t xml:space="preserve">0–60% = 1× effort/point (happy paths); 60–75% = 1.5–2× (edge cases); 75–85% = 2–3× (integrations); 85–90% = 3–5× (mocking); 90–95% = 5–10× (generated code); 95–100% = 10–50× (dead code, exception handlers).</w:t>
      </w:r>
    </w:p>
    <w:p>
      <w:pPr>
        <w:spacing w:after="160" w:line="276"/>
      </w:pPr>
      <w:r>
        <w:rPr>
          <w:rFonts w:ascii="Arial" w:cs="Arial" w:eastAsia="Arial" w:hAnsi="Arial"/>
          <w:b/>
          <w:bCs/>
          <w:color w:val="333333"/>
          <w:sz w:val="21"/>
          <w:szCs w:val="21"/>
        </w:rPr>
        <w:t xml:space="preserve">Sources: </w:t>
      </w:r>
      <w:r>
        <w:rPr>
          <w:rFonts w:ascii="Arial" w:cs="Arial" w:eastAsia="Arial" w:hAnsi="Arial"/>
          <w:color w:val="333333"/>
          <w:sz w:val="21"/>
          <w:szCs w:val="21"/>
        </w:rPr>
        <w:t xml:space="preserve">Google Testing Blog (60/75/90 thresholds), Google FSE 2019 paper (78% median internal coverage), Kochhar et al. 2015, Bach et al. 2017 (SAP HANA).</w:t>
      </w:r>
    </w:p>
    <w:p>
      <w:pPr>
        <w:spacing w:before="200" w:after="120"/>
      </w:pPr>
      <w:r>
        <w:rPr>
          <w:rFonts w:ascii="Arial" w:cs="Arial" w:eastAsia="Arial" w:hAnsi="Arial"/>
          <w:b/>
          <w:bCs/>
          <w:color w:val="1B2A4A"/>
          <w:sz w:val="22"/>
          <w:szCs w:val="22"/>
        </w:rPr>
        <w:t xml:space="preserve">CSAT</w:t>
      </w:r>
    </w:p>
    <w:p>
      <w:pPr>
        <w:spacing w:after="16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CostPerPoint(s) = BaseCost × e^(k×(s−60)) where s = CSAT percentage, calibrated so cost per point rises from 1× at 60% to 25–100× above 95%.</w:t>
      </w:r>
    </w:p>
    <w:p>
      <w:pPr>
        <w:spacing w:after="160" w:line="276"/>
      </w:pPr>
      <w:r>
        <w:rPr>
          <w:rFonts w:ascii="Arial" w:cs="Arial" w:eastAsia="Arial" w:hAnsi="Arial"/>
          <w:b/>
          <w:bCs/>
          <w:color w:val="333333"/>
          <w:sz w:val="21"/>
          <w:szCs w:val="21"/>
        </w:rPr>
        <w:t xml:space="preserve">Anchor points: </w:t>
      </w:r>
      <w:r>
        <w:rPr>
          <w:rFonts w:ascii="Arial" w:cs="Arial" w:eastAsia="Arial" w:hAnsi="Arial"/>
          <w:color w:val="333333"/>
          <w:sz w:val="21"/>
          <w:szCs w:val="21"/>
        </w:rPr>
        <w:t xml:space="preserve">60% = 1× (basic fixes); 76.9% = national ACSI average; 80–85% = 3–5× (personalization, omnichannel); 90–95% = 10–25× (dedicated account mgmt); 95%+ = 25–100× (custom solutions per customer).</w:t>
      </w:r>
    </w:p>
    <w:p>
      <w:pPr>
        <w:spacing w:after="160" w:line="276"/>
      </w:pPr>
      <w:r>
        <w:rPr>
          <w:rFonts w:ascii="Arial" w:cs="Arial" w:eastAsia="Arial" w:hAnsi="Arial"/>
          <w:b/>
          <w:bCs/>
          <w:color w:val="333333"/>
          <w:sz w:val="21"/>
          <w:szCs w:val="21"/>
        </w:rPr>
        <w:t xml:space="preserve">Sources: </w:t>
      </w:r>
      <w:r>
        <w:rPr>
          <w:rFonts w:ascii="Arial" w:cs="Arial" w:eastAsia="Arial" w:hAnsi="Arial"/>
          <w:color w:val="333333"/>
          <w:sz w:val="21"/>
          <w:szCs w:val="21"/>
        </w:rPr>
        <w:t xml:space="preserve">ACSI Q4 2025 (76.9 national average), Bain &amp; Company (5% retention → 25–95% profit increase), KPMG (delighting customers diminishing returns), industry support cost benchmarks ($18–$35/ticket SaaS).</w:t>
      </w:r>
    </w:p>
    <w:p>
      <w:pPr>
        <w:pStyle w:val="Heading2"/>
        <w:spacing w:before="280" w:after="160"/>
      </w:pPr>
      <w:r>
        <w:rPr>
          <w:rFonts w:ascii="Arial" w:cs="Arial" w:eastAsia="Arial" w:hAnsi="Arial"/>
          <w:b/>
          <w:bCs/>
          <w:color w:val="2E75B6"/>
          <w:sz w:val="24"/>
          <w:szCs w:val="24"/>
        </w:rPr>
        <w:t xml:space="preserve">5.3 Methodology note text (exact copy for each domain)</w:t>
      </w:r>
    </w:p>
    <w:p>
      <w:pPr>
        <w:spacing w:after="160" w:line="276"/>
      </w:pPr>
      <w:r>
        <w:rPr>
          <w:rFonts w:ascii="Arial" w:cs="Arial" w:eastAsia="Arial" w:hAnsi="Arial"/>
          <w:color w:val="333333"/>
          <w:sz w:val="21"/>
          <w:szCs w:val="21"/>
        </w:rPr>
        <w:t xml:space="preserve">The following text is rendered inside the chart area (bottom-right, 12px, medium gray) and in the expandable methodology section. This is P0 content required by US-11.</w:t>
      </w:r>
    </w:p>
    <w:p>
      <w:pPr>
        <w:spacing w:after="160" w:line="276"/>
      </w:pPr>
      <w:r>
        <w:rPr>
          <w:rFonts w:ascii="Arial" w:cs="Arial" w:eastAsia="Arial" w:hAnsi="Arial"/>
          <w:b/>
          <w:bCs/>
          <w:color w:val="333333"/>
          <w:sz w:val="21"/>
          <w:szCs w:val="21"/>
        </w:rPr>
        <w:t xml:space="preserve">Uptime: </w:t>
      </w:r>
      <w:r>
        <w:rPr>
          <w:rFonts w:ascii="Arial" w:cs="Arial" w:eastAsia="Arial" w:hAnsi="Arial"/>
          <w:color w:val="333333"/>
          <w:sz w:val="21"/>
          <w:szCs w:val="21"/>
        </w:rPr>
        <w:t xml:space="preserve">"Total cost of ownership (infrastructure + staffing + operational overhead) modeled as an exponential curve: each additional nine of availability multiplies cost by ~10×. Calibrated to Google SRE Book, AWS Multi-AZ pricing, and industry SRE compensation benchmarks."</w:t>
      </w:r>
    </w:p>
    <w:p>
      <w:pPr>
        <w:spacing w:after="160" w:line="276"/>
      </w:pPr>
      <w:r>
        <w:rPr>
          <w:rFonts w:ascii="Arial" w:cs="Arial" w:eastAsia="Arial" w:hAnsi="Arial"/>
          <w:b/>
          <w:bCs/>
          <w:color w:val="333333"/>
          <w:sz w:val="21"/>
          <w:szCs w:val="21"/>
        </w:rPr>
        <w:t xml:space="preserve">Marketing: </w:t>
      </w:r>
      <w:r>
        <w:rPr>
          <w:rFonts w:ascii="Arial" w:cs="Arial" w:eastAsia="Arial" w:hAnsi="Arial"/>
          <w:color w:val="333333"/>
          <w:sz w:val="21"/>
          <w:szCs w:val="21"/>
        </w:rPr>
        <w:t xml:space="preserve">"Ad spend saturation modeled using a Hill function (α=1.5, K=$50K), the standard model used by Meta’s Robyn and Google’s Meridian MMM platforms. CPA benchmarks from WordStream (2024) and Saxifrage Blog empirical data."</w:t>
      </w:r>
    </w:p>
    <w:p>
      <w:pPr>
        <w:spacing w:after="160" w:line="276"/>
      </w:pPr>
      <w:r>
        <w:rPr>
          <w:rFonts w:ascii="Arial" w:cs="Arial" w:eastAsia="Arial" w:hAnsi="Arial"/>
          <w:b/>
          <w:bCs/>
          <w:color w:val="333333"/>
          <w:sz w:val="21"/>
          <w:szCs w:val="21"/>
        </w:rPr>
        <w:t xml:space="preserve">Coverage: </w:t>
      </w:r>
      <w:r>
        <w:rPr>
          <w:rFonts w:ascii="Arial" w:cs="Arial" w:eastAsia="Arial" w:hAnsi="Arial"/>
          <w:color w:val="333333"/>
          <w:sz w:val="21"/>
          <w:szCs w:val="21"/>
        </w:rPr>
        <w:t xml:space="preserve">"Engineering effort per coverage point modeled as an exponential curve, calibrated to Google’s published thresholds (60% acceptable, 75% commendable, 90% exemplary) and empirical data from Kochhar et al. (2015) and Bach et al. (2017)."</w:t>
      </w:r>
    </w:p>
    <w:p>
      <w:pPr>
        <w:spacing w:after="160" w:line="276"/>
      </w:pPr>
      <w:r>
        <w:rPr>
          <w:rFonts w:ascii="Arial" w:cs="Arial" w:eastAsia="Arial" w:hAnsi="Arial"/>
          <w:b/>
          <w:bCs/>
          <w:color w:val="333333"/>
          <w:sz w:val="21"/>
          <w:szCs w:val="21"/>
        </w:rPr>
        <w:t xml:space="preserve">CSAT: </w:t>
      </w:r>
      <w:r>
        <w:rPr>
          <w:rFonts w:ascii="Arial" w:cs="Arial" w:eastAsia="Arial" w:hAnsi="Arial"/>
          <w:color w:val="333333"/>
          <w:sz w:val="21"/>
          <w:szCs w:val="21"/>
        </w:rPr>
        <w:t xml:space="preserve">"Support cost per satisfaction point modeled as an exponential curve. Benchmarked to ACSI national average (76.9), Bain &amp; Company retention-profit research, and industry support cost data ($18–$35/ticket)."</w:t>
      </w:r>
    </w:p>
    <w:p>
      <w:pPr>
        <w:spacing w:after="80"/>
      </w:pPr>
    </w:p>
    <w:p>
      <w:pPr>
        <w:pStyle w:val="Heading1"/>
        <w:spacing w:before="360" w:after="200"/>
      </w:pPr>
      <w:r>
        <w:rPr>
          <w:rFonts w:ascii="Arial" w:cs="Arial" w:eastAsia="Arial" w:hAnsi="Arial"/>
          <w:b/>
          <w:bCs/>
          <w:color w:val="1B2A4A"/>
          <w:sz w:val="28"/>
          <w:szCs w:val="28"/>
        </w:rPr>
        <w:t xml:space="preserve">6. Scope Boundaries</w:t>
      </w:r>
    </w:p>
    <w:p>
      <w:pPr>
        <w:pStyle w:val="Heading2"/>
        <w:spacing w:before="280" w:after="160"/>
      </w:pPr>
      <w:r>
        <w:rPr>
          <w:rFonts w:ascii="Arial" w:cs="Arial" w:eastAsia="Arial" w:hAnsi="Arial"/>
          <w:b/>
          <w:bCs/>
          <w:color w:val="2E75B6"/>
          <w:sz w:val="24"/>
          <w:szCs w:val="24"/>
        </w:rPr>
        <w:t xml:space="preserve">6.1 What v1 includes (P0 scope)</w:t>
      </w:r>
    </w:p>
    <w:p>
      <w:pPr>
        <w:pStyle w:val="ListParagraph"/>
        <w:numPr>
          <w:ilvl w:val="0"/>
          <w:numId w:val="2"/>
        </w:numPr>
        <w:spacing w:after="80" w:line="276"/>
      </w:pPr>
      <w:r>
        <w:rPr>
          <w:rFonts w:ascii="Arial" w:cs="Arial" w:eastAsia="Arial" w:hAnsi="Arial"/>
          <w:color w:val="333333"/>
          <w:sz w:val="21"/>
          <w:szCs w:val="21"/>
        </w:rPr>
        <w:t xml:space="preserve">Interactive slider-to-chart interaction with animated cost counter.</w:t>
      </w:r>
    </w:p>
    <w:p>
      <w:pPr>
        <w:pStyle w:val="ListParagraph"/>
        <w:numPr>
          <w:ilvl w:val="0"/>
          <w:numId w:val="2"/>
        </w:numPr>
        <w:spacing w:after="80" w:line="276"/>
      </w:pPr>
      <w:r>
        <w:rPr>
          <w:rFonts w:ascii="Arial" w:cs="Arial" w:eastAsia="Arial" w:hAnsi="Arial"/>
          <w:color w:val="333333"/>
          <w:sz w:val="21"/>
          <w:szCs w:val="21"/>
        </w:rPr>
        <w:t xml:space="preserve">Uptime domain template as the lead (fully polished).</w:t>
      </w:r>
    </w:p>
    <w:p>
      <w:pPr>
        <w:pStyle w:val="ListParagraph"/>
        <w:numPr>
          <w:ilvl w:val="0"/>
          <w:numId w:val="2"/>
        </w:numPr>
        <w:spacing w:after="80" w:line="276"/>
      </w:pPr>
      <w:r>
        <w:rPr>
          <w:rFonts w:ascii="Arial" w:cs="Arial" w:eastAsia="Arial" w:hAnsi="Arial"/>
          <w:color w:val="333333"/>
          <w:sz w:val="21"/>
          <w:szCs w:val="21"/>
        </w:rPr>
        <w:t xml:space="preserve">Tab structure for all four domains (Marketing, Coverage, CSAT can show the chart with calibrated data but need not have full annotation polish).</w:t>
      </w:r>
    </w:p>
    <w:p>
      <w:pPr>
        <w:pStyle w:val="ListParagraph"/>
        <w:numPr>
          <w:ilvl w:val="0"/>
          <w:numId w:val="2"/>
        </w:numPr>
        <w:spacing w:after="80" w:line="276"/>
      </w:pPr>
      <w:r>
        <w:rPr>
          <w:rFonts w:ascii="Arial" w:cs="Arial" w:eastAsia="Arial" w:hAnsi="Arial"/>
          <w:color w:val="333333"/>
          <w:sz w:val="21"/>
          <w:szCs w:val="21"/>
        </w:rPr>
        <w:t xml:space="preserve">Source attribution text inside chart area for credibility.</w:t>
      </w:r>
    </w:p>
    <w:p>
      <w:pPr>
        <w:pStyle w:val="ListParagraph"/>
        <w:numPr>
          <w:ilvl w:val="0"/>
          <w:numId w:val="2"/>
        </w:numPr>
        <w:spacing w:after="80" w:line="276"/>
      </w:pPr>
      <w:r>
        <w:rPr>
          <w:rFonts w:ascii="Arial" w:cs="Arial" w:eastAsia="Arial" w:hAnsi="Arial"/>
          <w:color w:val="333333"/>
          <w:sz w:val="21"/>
          <w:szCs w:val="21"/>
        </w:rPr>
        <w:t xml:space="preserve">Mobile-responsive layout.</w:t>
      </w:r>
    </w:p>
    <w:p>
      <w:pPr>
        <w:pStyle w:val="ListParagraph"/>
        <w:numPr>
          <w:ilvl w:val="0"/>
          <w:numId w:val="2"/>
        </w:numPr>
        <w:spacing w:after="80" w:line="276"/>
      </w:pPr>
      <w:r>
        <w:rPr>
          <w:rFonts w:ascii="Arial" w:cs="Arial" w:eastAsia="Arial" w:hAnsi="Arial"/>
          <w:color w:val="333333"/>
          <w:sz w:val="21"/>
          <w:szCs w:val="21"/>
        </w:rPr>
        <w:t xml:space="preserve">Production-grade visual design: 8px grid, Inter + JetBrains Mono, diverging color palette, spring animations.</w:t>
      </w:r>
    </w:p>
    <w:p>
      <w:pPr>
        <w:pStyle w:val="Heading2"/>
        <w:spacing w:before="280" w:after="160"/>
      </w:pPr>
      <w:r>
        <w:rPr>
          <w:rFonts w:ascii="Arial" w:cs="Arial" w:eastAsia="Arial" w:hAnsi="Arial"/>
          <w:b/>
          <w:bCs/>
          <w:color w:val="2E75B6"/>
          <w:sz w:val="24"/>
          <w:szCs w:val="24"/>
        </w:rPr>
        <w:t xml:space="preserve">6.2 What v1 explicitly excludes</w:t>
      </w:r>
    </w:p>
    <w:p>
      <w:pPr>
        <w:pStyle w:val="ListParagraph"/>
        <w:numPr>
          <w:ilvl w:val="0"/>
          <w:numId w:val="2"/>
        </w:numPr>
        <w:spacing w:after="80" w:line="276"/>
      </w:pPr>
      <w:r>
        <w:rPr>
          <w:rFonts w:ascii="Arial" w:cs="Arial" w:eastAsia="Arial" w:hAnsi="Arial"/>
          <w:color w:val="333333"/>
          <w:sz w:val="21"/>
          <w:szCs w:val="21"/>
        </w:rPr>
        <w:t xml:space="preserve">User accounts, login, or saved state.</w:t>
      </w:r>
    </w:p>
    <w:p>
      <w:pPr>
        <w:pStyle w:val="ListParagraph"/>
        <w:numPr>
          <w:ilvl w:val="0"/>
          <w:numId w:val="2"/>
        </w:numPr>
        <w:spacing w:after="80" w:line="276"/>
      </w:pPr>
      <w:r>
        <w:rPr>
          <w:rFonts w:ascii="Arial" w:cs="Arial" w:eastAsia="Arial" w:hAnsi="Arial"/>
          <w:color w:val="333333"/>
          <w:sz w:val="21"/>
          <w:szCs w:val="21"/>
        </w:rPr>
        <w:t xml:space="preserve">Custom data input (users cannot upload their own cost data in v1).</w:t>
      </w:r>
    </w:p>
    <w:p>
      <w:pPr>
        <w:pStyle w:val="ListParagraph"/>
        <w:numPr>
          <w:ilvl w:val="0"/>
          <w:numId w:val="2"/>
        </w:numPr>
        <w:spacing w:after="80" w:line="276"/>
      </w:pPr>
      <w:r>
        <w:rPr>
          <w:rFonts w:ascii="Arial" w:cs="Arial" w:eastAsia="Arial" w:hAnsi="Arial"/>
          <w:color w:val="333333"/>
          <w:sz w:val="21"/>
          <w:szCs w:val="21"/>
        </w:rPr>
        <w:t xml:space="preserve">Backend or API (all computation is client-side).</w:t>
      </w:r>
    </w:p>
    <w:p>
      <w:pPr>
        <w:pStyle w:val="ListParagraph"/>
        <w:numPr>
          <w:ilvl w:val="0"/>
          <w:numId w:val="2"/>
        </w:numPr>
        <w:spacing w:after="80" w:line="276"/>
      </w:pPr>
      <w:r>
        <w:rPr>
          <w:rFonts w:ascii="Arial" w:cs="Arial" w:eastAsia="Arial" w:hAnsi="Arial"/>
          <w:color w:val="333333"/>
          <w:sz w:val="21"/>
          <w:szCs w:val="21"/>
        </w:rPr>
        <w:t xml:space="preserve">Export to PNG/SVG (users screenshot instead).</w:t>
      </w:r>
    </w:p>
    <w:p>
      <w:pPr>
        <w:pStyle w:val="ListParagraph"/>
        <w:numPr>
          <w:ilvl w:val="0"/>
          <w:numId w:val="2"/>
        </w:numPr>
        <w:spacing w:after="80" w:line="276"/>
      </w:pPr>
      <w:r>
        <w:rPr>
          <w:rFonts w:ascii="Arial" w:cs="Arial" w:eastAsia="Arial" w:hAnsi="Arial"/>
          <w:color w:val="333333"/>
          <w:sz w:val="21"/>
          <w:szCs w:val="21"/>
        </w:rPr>
        <w:t xml:space="preserve">Shareable URLs with preserved slider state (US-12, P2).</w:t>
      </w:r>
    </w:p>
    <w:p>
      <w:pPr>
        <w:pStyle w:val="ListParagraph"/>
        <w:numPr>
          <w:ilvl w:val="0"/>
          <w:numId w:val="2"/>
        </w:numPr>
        <w:spacing w:after="80" w:line="276"/>
      </w:pPr>
      <w:r>
        <w:rPr>
          <w:rFonts w:ascii="Arial" w:cs="Arial" w:eastAsia="Arial" w:hAnsi="Arial"/>
          <w:color w:val="333333"/>
          <w:sz w:val="21"/>
          <w:szCs w:val="21"/>
        </w:rPr>
        <w:t xml:space="preserve">Embeddable widget or iframe mode.</w:t>
      </w:r>
    </w:p>
    <w:p>
      <w:pPr>
        <w:pStyle w:val="ListParagraph"/>
        <w:numPr>
          <w:ilvl w:val="0"/>
          <w:numId w:val="2"/>
        </w:numPr>
        <w:spacing w:after="80" w:line="276"/>
      </w:pPr>
      <w:r>
        <w:rPr>
          <w:rFonts w:ascii="Arial" w:cs="Arial" w:eastAsia="Arial" w:hAnsi="Arial"/>
          <w:color w:val="333333"/>
          <w:sz w:val="21"/>
          <w:szCs w:val="21"/>
        </w:rPr>
        <w:t xml:space="preserve">Comparison mode (side-by-side views of two targets).</w:t>
      </w:r>
    </w:p>
    <w:p>
      <w:pPr>
        <w:pStyle w:val="Heading2"/>
        <w:spacing w:before="280" w:after="160"/>
      </w:pPr>
      <w:r>
        <w:rPr>
          <w:rFonts w:ascii="Arial" w:cs="Arial" w:eastAsia="Arial" w:hAnsi="Arial"/>
          <w:b/>
          <w:bCs/>
          <w:color w:val="2E75B6"/>
          <w:sz w:val="24"/>
          <w:szCs w:val="24"/>
        </w:rPr>
        <w:t xml:space="preserve">6.3 Sequencing rationale</w:t>
      </w:r>
    </w:p>
    <w:p>
      <w:pPr>
        <w:spacing w:after="160" w:line="276"/>
      </w:pPr>
      <w:r>
        <w:rPr>
          <w:rFonts w:ascii="Arial" w:cs="Arial" w:eastAsia="Arial" w:hAnsi="Arial"/>
          <w:color w:val="333333"/>
          <w:sz w:val="21"/>
          <w:szCs w:val="21"/>
        </w:rPr>
        <w:t xml:space="preserve">The v1 scope is deliberately narrow. The Uptime template is the sharpest domain (deterministic math, most dramatic numbers, cleanest competitive positioning) and serves the primary persona (VP of Engineering in a budget conversation). The other three tabs reinforce the cross-domain aha moment but don’t need the same depth of annotation in v1. We ship a polished Uptime experience first, then deepen the other templates based on usage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Scoping principle: </w:t>
            </w:r>
            <w:r>
              <w:rPr>
                <w:rFonts w:ascii="Arial" w:cs="Arial" w:eastAsia="Arial" w:hAnsi="Arial"/>
                <w:color w:val="1B2A4A"/>
                <w:sz w:val="21"/>
                <w:szCs w:val="21"/>
              </w:rPr>
              <w:t xml:space="preserve">If we can only ship one thing, it’s the Uptime slider-to-chart interaction with the animated cost counter. Everything else is enhancement. The core interaction is the product.</w:t>
            </w:r>
          </w:p>
        </w:tc>
      </w:tr>
    </w:tbl>
    <w:p>
      <w:pPr>
        <w:spacing w:after="80"/>
      </w:pPr>
    </w:p>
    <w:p>
      <w:pPr>
        <w:pStyle w:val="Heading1"/>
        <w:spacing w:before="360" w:after="200"/>
      </w:pPr>
      <w:r>
        <w:rPr>
          <w:rFonts w:ascii="Arial" w:cs="Arial" w:eastAsia="Arial" w:hAnsi="Arial"/>
          <w:b/>
          <w:bCs/>
          <w:color w:val="1B2A4A"/>
          <w:sz w:val="28"/>
          <w:szCs w:val="28"/>
        </w:rP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Credibility of synthetic data</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Users may distrust the cost figures because they’re not from their own systems. Mitigate: source attribution on every chart, published anchor points, explicit TCO framing, and expandable methodology note. Frame as "industry benchmark" not "your exact cost."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Slider-to-chart performance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Complex chart animations may lag on low-power devices. Mitigate: use Recharts built-in animation (not custom), debounce slider at 16ms, test on mid-tier Android devices.</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Scope creep into customization</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Pressure to add user-editable parameters (base cost, team size, etc.) will delay ship. Mitigate: hard boundary in this PRD. v1 uses smart defaults only. Customization is P2.</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Cross-domain confusion</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Users may expect the four tabs to be connected (e.g., total org cost). Mitigate: each tab is clearly independent. Header text on each tab states "Explore [domain] diminishing returns."</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Portfolio vs. real product tension</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Temptation to over-engineer for production at the expense of shipping within 2-week timeline. Mitigate: the design principles prioritize polish over breadth. Ship the Uptime tab at full quality first.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w:t>
            </w:r>
          </w:p>
        </w:tc>
      </w:tr>
    </w:tbl>
    <w:p>
      <w:pPr>
        <w:spacing w:after="80"/>
      </w:pPr>
    </w:p>
    <w:p>
      <w:pPr>
        <w:pStyle w:val="Heading1"/>
        <w:spacing w:before="360" w:after="200"/>
      </w:pPr>
      <w:r>
        <w:rPr>
          <w:rFonts w:ascii="Arial" w:cs="Arial" w:eastAsia="Arial" w:hAnsi="Arial"/>
          <w:b/>
          <w:bCs/>
          <w:color w:val="1B2A4A"/>
          <w:sz w:val="28"/>
          <w:szCs w:val="28"/>
        </w:rPr>
        <w:t xml:space="preserve">8. Success Metrics</w:t>
      </w:r>
    </w:p>
    <w:p>
      <w:pPr>
        <w:pStyle w:val="Heading2"/>
        <w:spacing w:before="280" w:after="160"/>
      </w:pPr>
      <w:r>
        <w:rPr>
          <w:rFonts w:ascii="Arial" w:cs="Arial" w:eastAsia="Arial" w:hAnsi="Arial"/>
          <w:b/>
          <w:bCs/>
          <w:color w:val="2E75B6"/>
          <w:sz w:val="24"/>
          <w:szCs w:val="24"/>
        </w:rPr>
        <w:t xml:space="preserve">8.1 Quantitative (testable pre-launch)</w:t>
      </w:r>
    </w:p>
    <w:p>
      <w:pPr>
        <w:pStyle w:val="ListParagraph"/>
        <w:numPr>
          <w:ilvl w:val="0"/>
          <w:numId w:val="2"/>
        </w:numPr>
        <w:spacing w:after="80" w:line="276"/>
      </w:pPr>
      <w:r>
        <w:rPr>
          <w:rFonts w:ascii="Arial" w:cs="Arial" w:eastAsia="Arial" w:hAnsi="Arial"/>
          <w:color w:val="333333"/>
          <w:sz w:val="21"/>
          <w:szCs w:val="21"/>
        </w:rPr>
        <w:t xml:space="preserve">Lighthouse performance score: &gt;90 on mobile and desktop.</w:t>
      </w:r>
    </w:p>
    <w:p>
      <w:pPr>
        <w:pStyle w:val="ListParagraph"/>
        <w:numPr>
          <w:ilvl w:val="0"/>
          <w:numId w:val="2"/>
        </w:numPr>
        <w:spacing w:after="80" w:line="276"/>
      </w:pPr>
      <w:r>
        <w:rPr>
          <w:rFonts w:ascii="Arial" w:cs="Arial" w:eastAsia="Arial" w:hAnsi="Arial"/>
          <w:color w:val="333333"/>
          <w:sz w:val="21"/>
          <w:szCs w:val="21"/>
        </w:rPr>
        <w:t xml:space="preserve">First meaningful paint: &lt;2 seconds on simulated 4G (Chrome DevTools throttling).</w:t>
      </w:r>
    </w:p>
    <w:p>
      <w:pPr>
        <w:pStyle w:val="ListParagraph"/>
        <w:numPr>
          <w:ilvl w:val="0"/>
          <w:numId w:val="2"/>
        </w:numPr>
        <w:spacing w:after="80" w:line="276"/>
      </w:pPr>
      <w:r>
        <w:rPr>
          <w:rFonts w:ascii="Arial" w:cs="Arial" w:eastAsia="Arial" w:hAnsi="Arial"/>
          <w:color w:val="333333"/>
          <w:sz w:val="21"/>
          <w:szCs w:val="21"/>
        </w:rPr>
        <w:t xml:space="preserve">Slider interaction: sustained 60fps during continuous drag (Chrome DevTools Performance panel).</w:t>
      </w:r>
    </w:p>
    <w:p>
      <w:pPr>
        <w:pStyle w:val="ListParagraph"/>
        <w:numPr>
          <w:ilvl w:val="0"/>
          <w:numId w:val="2"/>
        </w:numPr>
        <w:spacing w:after="80" w:line="276"/>
      </w:pPr>
      <w:r>
        <w:rPr>
          <w:rFonts w:ascii="Arial" w:cs="Arial" w:eastAsia="Arial" w:hAnsi="Arial"/>
          <w:color w:val="333333"/>
          <w:sz w:val="21"/>
          <w:szCs w:val="21"/>
        </w:rPr>
        <w:t xml:space="preserve">Bundle size: total JavaScript payload &lt;250kB gzipped.</w:t>
      </w:r>
    </w:p>
    <w:p>
      <w:pPr>
        <w:pStyle w:val="ListParagraph"/>
        <w:numPr>
          <w:ilvl w:val="0"/>
          <w:numId w:val="2"/>
        </w:numPr>
        <w:spacing w:after="80" w:line="276"/>
      </w:pPr>
      <w:r>
        <w:rPr>
          <w:rFonts w:ascii="Arial" w:cs="Arial" w:eastAsia="Arial" w:hAnsi="Arial"/>
          <w:color w:val="333333"/>
          <w:sz w:val="21"/>
          <w:szCs w:val="21"/>
        </w:rPr>
        <w:t xml:space="preserve">Accessibility: zero critical or serious violations in axe DevTools scan. All interactive elements keyboard-navigable.</w:t>
      </w:r>
    </w:p>
    <w:p>
      <w:pPr>
        <w:pStyle w:val="Heading2"/>
        <w:spacing w:before="280" w:after="160"/>
      </w:pPr>
      <w:r>
        <w:rPr>
          <w:rFonts w:ascii="Arial" w:cs="Arial" w:eastAsia="Arial" w:hAnsi="Arial"/>
          <w:b/>
          <w:bCs/>
          <w:color w:val="2E75B6"/>
          <w:sz w:val="24"/>
          <w:szCs w:val="24"/>
        </w:rPr>
        <w:t xml:space="preserve">8.2 Qualitative (validated via guerrilla usability testing)</w:t>
      </w:r>
    </w:p>
    <w:p>
      <w:pPr>
        <w:spacing w:after="160" w:line="276"/>
      </w:pPr>
      <w:r>
        <w:rPr>
          <w:rFonts w:ascii="Arial" w:cs="Arial" w:eastAsia="Arial" w:hAnsi="Arial"/>
          <w:color w:val="333333"/>
          <w:sz w:val="21"/>
          <w:szCs w:val="21"/>
        </w:rPr>
        <w:t xml:space="preserve">Before launch, show the tool to 3–5 people without context or explanation. Record the following:</w:t>
      </w:r>
    </w:p>
    <w:p>
      <w:pPr>
        <w:pStyle w:val="ListParagraph"/>
        <w:numPr>
          <w:ilvl w:val="0"/>
          <w:numId w:val="2"/>
        </w:numPr>
        <w:spacing w:after="80" w:line="276"/>
      </w:pPr>
      <w:r>
        <w:rPr>
          <w:rFonts w:ascii="Arial" w:cs="Arial" w:eastAsia="Arial" w:hAnsi="Arial"/>
          <w:b/>
          <w:bCs/>
          <w:color w:val="333333"/>
          <w:sz w:val="21"/>
          <w:szCs w:val="21"/>
        </w:rPr>
        <w:t xml:space="preserve">Time to first interaction: </w:t>
      </w:r>
      <w:r>
        <w:rPr>
          <w:rFonts w:ascii="Arial" w:cs="Arial" w:eastAsia="Arial" w:hAnsi="Arial"/>
          <w:color w:val="333333"/>
          <w:sz w:val="21"/>
          <w:szCs w:val="21"/>
        </w:rPr>
        <w:t xml:space="preserve">Does the user drag the slider within 10 seconds of landing? If 4/5 do, the zero-friction principle is validated.</w:t>
      </w:r>
    </w:p>
    <w:p>
      <w:pPr>
        <w:pStyle w:val="ListParagraph"/>
        <w:numPr>
          <w:ilvl w:val="0"/>
          <w:numId w:val="2"/>
        </w:numPr>
        <w:spacing w:after="80" w:line="276"/>
      </w:pPr>
      <w:r>
        <w:rPr>
          <w:rFonts w:ascii="Arial" w:cs="Arial" w:eastAsia="Arial" w:hAnsi="Arial"/>
          <w:b/>
          <w:bCs/>
          <w:color w:val="333333"/>
          <w:sz w:val="21"/>
          <w:szCs w:val="21"/>
        </w:rPr>
        <w:t xml:space="preserve">Comprehension without walkthrough: </w:t>
      </w:r>
      <w:r>
        <w:rPr>
          <w:rFonts w:ascii="Arial" w:cs="Arial" w:eastAsia="Arial" w:hAnsi="Arial"/>
          <w:color w:val="333333"/>
          <w:sz w:val="21"/>
          <w:szCs w:val="21"/>
        </w:rPr>
        <w:t xml:space="preserve">Can the user articulate what the chart shows without being told? Target: 4/5 correctly describe "cost goes up exponentially as you increase the target."</w:t>
      </w:r>
    </w:p>
    <w:p>
      <w:pPr>
        <w:pStyle w:val="ListParagraph"/>
        <w:numPr>
          <w:ilvl w:val="0"/>
          <w:numId w:val="2"/>
        </w:numPr>
        <w:spacing w:after="80" w:line="276"/>
      </w:pPr>
      <w:r>
        <w:rPr>
          <w:rFonts w:ascii="Arial" w:cs="Arial" w:eastAsia="Arial" w:hAnsi="Arial"/>
          <w:b/>
          <w:bCs/>
          <w:color w:val="333333"/>
          <w:sz w:val="21"/>
          <w:szCs w:val="21"/>
        </w:rPr>
        <w:t xml:space="preserve">Cross-domain discovery: </w:t>
      </w:r>
      <w:r>
        <w:rPr>
          <w:rFonts w:ascii="Arial" w:cs="Arial" w:eastAsia="Arial" w:hAnsi="Arial"/>
          <w:color w:val="333333"/>
          <w:sz w:val="21"/>
          <w:szCs w:val="21"/>
        </w:rPr>
        <w:t xml:space="preserve">Does the user click a second tab unprompted? Target: 3/5 do.</w:t>
      </w:r>
    </w:p>
    <w:p>
      <w:pPr>
        <w:pStyle w:val="ListParagraph"/>
        <w:numPr>
          <w:ilvl w:val="0"/>
          <w:numId w:val="2"/>
        </w:numPr>
        <w:spacing w:after="80" w:line="276"/>
      </w:pPr>
      <w:r>
        <w:rPr>
          <w:rFonts w:ascii="Arial" w:cs="Arial" w:eastAsia="Arial" w:hAnsi="Arial"/>
          <w:b/>
          <w:bCs/>
          <w:color w:val="333333"/>
          <w:sz w:val="21"/>
          <w:szCs w:val="21"/>
        </w:rPr>
        <w:t xml:space="preserve">Screenshot clarity: </w:t>
      </w:r>
      <w:r>
        <w:rPr>
          <w:rFonts w:ascii="Arial" w:cs="Arial" w:eastAsia="Arial" w:hAnsi="Arial"/>
          <w:color w:val="333333"/>
          <w:sz w:val="21"/>
          <w:szCs w:val="21"/>
        </w:rPr>
        <w:t xml:space="preserve">Show a screenshot of the chart (not the tool) to a different person. Can they explain it? Target: 3/5 can.</w:t>
      </w:r>
    </w:p>
    <w:p>
      <w:pPr>
        <w:pStyle w:val="Heading2"/>
        <w:spacing w:before="280" w:after="160"/>
      </w:pPr>
      <w:r>
        <w:rPr>
          <w:rFonts w:ascii="Arial" w:cs="Arial" w:eastAsia="Arial" w:hAnsi="Arial"/>
          <w:b/>
          <w:bCs/>
          <w:color w:val="2E75B6"/>
          <w:sz w:val="24"/>
          <w:szCs w:val="24"/>
        </w:rPr>
        <w:t xml:space="preserve">8.3 Portfolio-facing success</w:t>
      </w:r>
    </w:p>
    <w:p>
      <w:pPr>
        <w:pStyle w:val="ListParagraph"/>
        <w:numPr>
          <w:ilvl w:val="0"/>
          <w:numId w:val="2"/>
        </w:numPr>
        <w:spacing w:after="80" w:line="276"/>
      </w:pPr>
      <w:r>
        <w:rPr>
          <w:rFonts w:ascii="Arial" w:cs="Arial" w:eastAsia="Arial" w:hAnsi="Arial"/>
          <w:color w:val="333333"/>
          <w:sz w:val="21"/>
          <w:szCs w:val="21"/>
        </w:rPr>
        <w:t xml:space="preserve">Hiring manager impression: within 30 seconds of opening the tool, a reviewer can articulate what product sense the candidate demonstrated.</w:t>
      </w:r>
    </w:p>
    <w:p>
      <w:pPr>
        <w:pStyle w:val="ListParagraph"/>
        <w:numPr>
          <w:ilvl w:val="0"/>
          <w:numId w:val="2"/>
        </w:numPr>
        <w:spacing w:after="80" w:line="276"/>
      </w:pPr>
      <w:r>
        <w:rPr>
          <w:rFonts w:ascii="Arial" w:cs="Arial" w:eastAsia="Arial" w:hAnsi="Arial"/>
          <w:color w:val="333333"/>
          <w:sz w:val="21"/>
          <w:szCs w:val="21"/>
        </w:rPr>
        <w:t xml:space="preserve">Technical execution signal: the animation, responsiveness, and visual polish meet the standard of a production SaaS tool, not a side project.</w:t>
      </w:r>
    </w:p>
    <w:p>
      <w:pPr>
        <w:pStyle w:val="ListParagraph"/>
        <w:numPr>
          <w:ilvl w:val="0"/>
          <w:numId w:val="2"/>
        </w:numPr>
        <w:spacing w:after="80" w:line="276"/>
      </w:pPr>
      <w:r>
        <w:rPr>
          <w:rFonts w:ascii="Arial" w:cs="Arial" w:eastAsia="Arial" w:hAnsi="Arial"/>
          <w:color w:val="333333"/>
          <w:sz w:val="21"/>
          <w:szCs w:val="21"/>
        </w:rPr>
        <w:t xml:space="preserve">Conversation starter: the tool generates questions in PM interviews about tradeoff thinking, data modeling, and cross-functional communication design.</w:t>
      </w:r>
    </w:p>
    <w:p>
      <w:pPr>
        <w:spacing w:after="80"/>
      </w:pPr>
    </w:p>
    <w:p>
      <w:pPr>
        <w:pStyle w:val="Heading1"/>
        <w:spacing w:before="360" w:after="200"/>
      </w:pPr>
      <w:r>
        <w:rPr>
          <w:rFonts w:ascii="Arial" w:cs="Arial" w:eastAsia="Arial" w:hAnsi="Arial"/>
          <w:b/>
          <w:bCs/>
          <w:color w:val="1B2A4A"/>
          <w:sz w:val="28"/>
          <w:szCs w:val="28"/>
        </w:rPr>
        <w:t xml:space="preserve">9. Next Steps</w:t>
      </w:r>
    </w:p>
    <w:p>
      <w:pPr>
        <w:spacing w:after="160" w:line="276"/>
      </w:pPr>
      <w:r>
        <w:rPr>
          <w:rFonts w:ascii="Arial" w:cs="Arial" w:eastAsia="Arial" w:hAnsi="Arial"/>
          <w:color w:val="333333"/>
          <w:sz w:val="21"/>
          <w:szCs w:val="21"/>
        </w:rPr>
        <w:t xml:space="preserve">With the PRD approved, the following documents complete the product development sequence:</w:t>
      </w:r>
    </w:p>
    <w:p>
      <w:pPr>
        <w:pStyle w:val="ListParagraph"/>
        <w:numPr>
          <w:ilvl w:val="0"/>
          <w:numId w:val="3"/>
        </w:numPr>
        <w:spacing w:after="80" w:line="276"/>
      </w:pPr>
      <w:r>
        <w:rPr>
          <w:rFonts w:ascii="Arial" w:cs="Arial" w:eastAsia="Arial" w:hAnsi="Arial"/>
          <w:b/>
          <w:bCs/>
          <w:color w:val="333333"/>
          <w:sz w:val="21"/>
          <w:szCs w:val="21"/>
        </w:rPr>
        <w:t xml:space="preserve">Design Doc </w:t>
      </w:r>
      <w:r>
        <w:rPr>
          <w:rFonts w:ascii="Arial" w:cs="Arial" w:eastAsia="Arial" w:hAnsi="Arial"/>
          <w:color w:val="333333"/>
          <w:sz w:val="21"/>
          <w:szCs w:val="21"/>
        </w:rPr>
        <w:t xml:space="preserve">— Information architecture, interaction model, layout wireframe, color system, typography scale, and the specific design decisions that shape how the product feels.</w:t>
      </w:r>
    </w:p>
    <w:p>
      <w:pPr>
        <w:pStyle w:val="ListParagraph"/>
        <w:numPr>
          <w:ilvl w:val="0"/>
          <w:numId w:val="3"/>
        </w:numPr>
        <w:spacing w:after="80" w:line="276"/>
      </w:pPr>
      <w:r>
        <w:rPr>
          <w:rFonts w:ascii="Arial" w:cs="Arial" w:eastAsia="Arial" w:hAnsi="Arial"/>
          <w:b/>
          <w:bCs/>
          <w:color w:val="333333"/>
          <w:sz w:val="21"/>
          <w:szCs w:val="21"/>
        </w:rPr>
        <w:t xml:space="preserve">Technical Plan </w:t>
      </w:r>
      <w:r>
        <w:rPr>
          <w:rFonts w:ascii="Arial" w:cs="Arial" w:eastAsia="Arial" w:hAnsi="Arial"/>
          <w:color w:val="333333"/>
          <w:sz w:val="21"/>
          <w:szCs w:val="21"/>
        </w:rPr>
        <w:t xml:space="preserve">— Component architecture (React component tree), data model implementation, Recharts configuration, Framer Motion animation specs, and the build sequence.</w:t>
      </w:r>
    </w:p>
    <w:p>
      <w:pPr>
        <w:pStyle w:val="ListParagraph"/>
        <w:numPr>
          <w:ilvl w:val="0"/>
          <w:numId w:val="3"/>
        </w:numPr>
        <w:spacing w:after="80" w:line="276"/>
      </w:pPr>
      <w:r>
        <w:rPr>
          <w:rFonts w:ascii="Arial" w:cs="Arial" w:eastAsia="Arial" w:hAnsi="Arial"/>
          <w:b/>
          <w:bCs/>
          <w:color w:val="333333"/>
          <w:sz w:val="21"/>
          <w:szCs w:val="21"/>
        </w:rPr>
        <w:t xml:space="preserve">Build </w:t>
      </w:r>
      <w:r>
        <w:rPr>
          <w:rFonts w:ascii="Arial" w:cs="Arial" w:eastAsia="Arial" w:hAnsi="Arial"/>
          <w:color w:val="333333"/>
          <w:sz w:val="21"/>
          <w:szCs w:val="21"/>
        </w:rPr>
        <w:t xml:space="preserve">— Execute against the technical plan. Estimated 1.5–2 weeks.</w:t>
      </w:r>
    </w:p>
    <w:p>
      <w:pPr>
        <w:pStyle w:val="ListParagraph"/>
        <w:numPr>
          <w:ilvl w:val="0"/>
          <w:numId w:val="3"/>
        </w:numPr>
        <w:spacing w:after="80" w:line="276"/>
      </w:pPr>
      <w:r>
        <w:rPr>
          <w:rFonts w:ascii="Arial" w:cs="Arial" w:eastAsia="Arial" w:hAnsi="Arial"/>
          <w:b/>
          <w:bCs/>
          <w:color w:val="333333"/>
          <w:sz w:val="21"/>
          <w:szCs w:val="21"/>
        </w:rPr>
        <w:t xml:space="preserve">Launch </w:t>
      </w:r>
      <w:r>
        <w:rPr>
          <w:rFonts w:ascii="Arial" w:cs="Arial" w:eastAsia="Arial" w:hAnsi="Arial"/>
          <w:color w:val="333333"/>
          <w:sz w:val="21"/>
          <w:szCs w:val="21"/>
        </w:rPr>
        <w:t xml:space="preserve">— Deploy on Vercel, submit to Product Hunt, share in SRE and FinOps communities, integrate into DecisionDock portfolio.</w:t>
      </w:r>
    </w:p>
    <w:p>
      <w:pPr>
        <w:spacing w:after="120"/>
      </w:pPr>
    </w:p>
    <w:p>
      <w:pPr>
        <w:pBdr>
          <w:top w:val="single" w:color="2E75B6" w:sz="2" w:space="8"/>
        </w:pBdr>
        <w:spacing w:before="240" w:after="0"/>
        <w:jc w:val="center"/>
      </w:pPr>
      <w:r>
        <w:rPr>
          <w:rFonts w:ascii="Arial" w:cs="Arial" w:eastAsia="Arial" w:hAnsi="Arial"/>
          <w:i/>
          <w:iCs/>
          <w:color w:val="555555"/>
          <w:sz w:val="20"/>
          <w:szCs w:val="20"/>
        </w:rPr>
        <w:t xml:space="preserve">End of PRD v1.1  •  Next step: Design Doc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jc w:val="right"/>
    </w:pPr>
    <w:r>
      <w:rPr>
        <w:rFonts w:ascii="Arial" w:cs="Arial" w:eastAsia="Arial" w:hAnsi="Arial"/>
        <w:b/>
        <w:bCs/>
        <w:color w:val="2E75B6"/>
        <w:sz w:val="16"/>
        <w:szCs w:val="16"/>
      </w:rPr>
      <w:t xml:space="preserve">DECISIONDOCK  </w:t>
    </w:r>
    <w:r>
      <w:rPr>
        <w:rFonts w:ascii="Arial" w:cs="Arial" w:eastAsia="Arial" w:hAnsi="Arial"/>
        <w:color w:val="555555"/>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2026-03-01T02:32:29.526Z</dcterms:created>
  <dcterms:modified xsi:type="dcterms:W3CDTF">2026-03-01T02:32:29.527Z</dcterms:modified>
</cp:coreProperties>
</file>

<file path=docProps/custom.xml><?xml version="1.0" encoding="utf-8"?>
<Properties xmlns="http://schemas.openxmlformats.org/officeDocument/2006/custom-properties" xmlns:vt="http://schemas.openxmlformats.org/officeDocument/2006/docPropsVTypes"/>
</file>