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2E75B6"/>
          <w:sz w:val="22"/>
          <w:szCs w:val="22"/>
        </w:rPr>
        <w:t xml:space="preserve">PROBLEM BRIEF</w:t>
      </w:r>
    </w:p>
    <w:p>
      <w:pPr>
        <w:spacing w:after="40"/>
      </w:pPr>
      <w:r>
        <w:rPr>
          <w:rFonts w:ascii="Arial" w:cs="Arial" w:eastAsia="Arial" w:hAnsi="Arial"/>
          <w:b/>
          <w:bCs/>
          <w:color w:val="1B2A4A"/>
          <w:sz w:val="40"/>
          <w:szCs w:val="40"/>
        </w:rPr>
        <w:t xml:space="preserve">The Nines Calculator</w:t>
      </w:r>
    </w:p>
    <w:p>
      <w:pPr>
        <w:spacing w:after="240"/>
      </w:pPr>
      <w:r>
        <w:rPr>
          <w:rFonts w:ascii="Arial" w:cs="Arial" w:eastAsia="Arial" w:hAnsi="Arial"/>
          <w:i/>
          <w:iCs/>
          <w:color w:val="555555"/>
          <w:sz w:val="24"/>
          <w:szCs w:val="24"/>
        </w:rPr>
        <w:t xml:space="preserve">Visualizing the exponential cost of incremental perfection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Product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Nines Calculator (DecisionDock)</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Manager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February 28, 2026</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v1.0</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Primary Persona</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 / Director of Engineering</w:t>
            </w:r>
          </w:p>
        </w:tc>
      </w:tr>
    </w:tbl>
    <w:p>
      <w:pPr>
        <w:spacing w:after="240"/>
      </w:pPr>
    </w:p>
    <w:p>
      <w:pPr>
        <w:pStyle w:val="Heading1"/>
        <w:spacing w:before="360" w:after="200"/>
      </w:pPr>
      <w:r>
        <w:rPr>
          <w:rFonts w:ascii="Arial" w:cs="Arial" w:eastAsia="Arial" w:hAnsi="Arial"/>
          <w:b/>
          <w:bCs/>
          <w:color w:val="1B2A4A"/>
          <w:sz w:val="28"/>
          <w:szCs w:val="28"/>
        </w:rPr>
        <w:t xml:space="preserve">1. The Problem</w:t>
      </w:r>
    </w:p>
    <w:p>
      <w:pPr>
        <w:spacing w:after="160" w:line="276"/>
      </w:pPr>
      <w:r>
        <w:rPr>
          <w:rFonts w:ascii="Arial" w:cs="Arial" w:eastAsia="Arial" w:hAnsi="Arial"/>
          <w:color w:val="333333"/>
          <w:sz w:val="21"/>
          <w:szCs w:val="21"/>
        </w:rPr>
        <w:t xml:space="preserve">Engineering leaders systematically overspend on reliability because they cannot see where marginal cost exceeds marginal benefit. The decision to pursue an additional </w:t>
      </w:r>
      <w:r>
        <w:rPr>
          <w:rFonts w:ascii="Arial" w:cs="Arial" w:eastAsia="Arial" w:hAnsi="Arial"/>
          <w:i/>
          <w:iCs/>
          <w:color w:val="333333"/>
          <w:sz w:val="21"/>
          <w:szCs w:val="21"/>
        </w:rPr>
        <w:t xml:space="preserve">"nine"</w:t>
      </w:r>
      <w:r>
        <w:rPr>
          <w:rFonts w:ascii="Arial" w:cs="Arial" w:eastAsia="Arial" w:hAnsi="Arial"/>
          <w:color w:val="333333"/>
          <w:sz w:val="21"/>
          <w:szCs w:val="21"/>
        </w:rPr>
        <w:t xml:space="preserve"> of availability (moving from 99.9% to 99.99%, for example) is one of the most consequential infrastructure investments an engineering organization makes. Each nine roughly multiplies total cost by 10×. Yet this decision is made today with spreadsheets, tribal knowledge, and back-of-napkin math.</w:t>
      </w:r>
    </w:p>
    <w:p>
      <w:pPr>
        <w:spacing w:after="160" w:line="276"/>
      </w:pPr>
      <w:r>
        <w:rPr>
          <w:rFonts w:ascii="Arial" w:cs="Arial" w:eastAsia="Arial" w:hAnsi="Arial"/>
          <w:color w:val="333333"/>
          <w:sz w:val="21"/>
          <w:szCs w:val="21"/>
        </w:rPr>
        <w:t xml:space="preserve">The problem is not computational. SREs and engineering leaders generally understand that reliability gets exponentially expensive. The problem is </w:t>
      </w:r>
      <w:r>
        <w:rPr>
          <w:rFonts w:ascii="Arial" w:cs="Arial" w:eastAsia="Arial" w:hAnsi="Arial"/>
          <w:b/>
          <w:bCs/>
          <w:color w:val="333333"/>
          <w:sz w:val="21"/>
          <w:szCs w:val="21"/>
        </w:rPr>
        <w:t xml:space="preserve">communicational</w:t>
      </w:r>
      <w:r>
        <w:rPr>
          <w:rFonts w:ascii="Arial" w:cs="Arial" w:eastAsia="Arial" w:hAnsi="Arial"/>
          <w:color w:val="333333"/>
          <w:sz w:val="21"/>
          <w:szCs w:val="21"/>
        </w:rPr>
        <w:t xml:space="preserve">: they cannot make this exponential cost structure </w:t>
      </w:r>
      <w:r>
        <w:rPr>
          <w:rFonts w:ascii="Arial" w:cs="Arial" w:eastAsia="Arial" w:hAnsi="Arial"/>
          <w:i/>
          <w:iCs/>
          <w:color w:val="333333"/>
          <w:sz w:val="21"/>
          <w:szCs w:val="21"/>
        </w:rPr>
        <w:t xml:space="preserve">visible</w:t>
      </w:r>
      <w:r>
        <w:rPr>
          <w:rFonts w:ascii="Arial" w:cs="Arial" w:eastAsia="Arial" w:hAnsi="Arial"/>
          <w:color w:val="333333"/>
          <w:sz w:val="21"/>
          <w:szCs w:val="21"/>
        </w:rPr>
        <w:t xml:space="preserve"> to the non-technical stakeholders (CFOs, CEOs, board members) who approve the budgets. Monitoring dashboards show green and red, not dollars and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Core insight: </w:t>
            </w:r>
            <w:r>
              <w:rPr>
                <w:rFonts w:ascii="Arial" w:cs="Arial" w:eastAsia="Arial" w:hAnsi="Arial"/>
                <w:color w:val="1B2A4A"/>
                <w:sz w:val="21"/>
                <w:szCs w:val="21"/>
              </w:rPr>
              <w:t xml:space="preserve">The pain is not "I need to calculate this." The pain is "I need to show this to someone who doesn’t get it." The tool’s primary output is a persuasive visual artifact, not a number.</w:t>
            </w:r>
          </w:p>
        </w:tc>
      </w:tr>
    </w:tbl>
    <w:p>
      <w:pPr>
        <w:spacing w:after="80"/>
      </w:pPr>
    </w:p>
    <w:p>
      <w:pPr>
        <w:pStyle w:val="Heading1"/>
        <w:spacing w:before="360" w:after="200"/>
      </w:pPr>
      <w:r>
        <w:rPr>
          <w:rFonts w:ascii="Arial" w:cs="Arial" w:eastAsia="Arial" w:hAnsi="Arial"/>
          <w:b/>
          <w:bCs/>
          <w:color w:val="1B2A4A"/>
          <w:sz w:val="28"/>
          <w:szCs w:val="28"/>
        </w:rPr>
        <w:t xml:space="preserve">2. Who Feels This Pain</w:t>
      </w:r>
    </w:p>
    <w:p>
      <w:pPr>
        <w:pStyle w:val="Heading2"/>
        <w:spacing w:before="280" w:after="160"/>
      </w:pPr>
      <w:r>
        <w:rPr>
          <w:rFonts w:ascii="Arial" w:cs="Arial" w:eastAsia="Arial" w:hAnsi="Arial"/>
          <w:b/>
          <w:bCs/>
          <w:color w:val="2E75B6"/>
          <w:sz w:val="24"/>
          <w:szCs w:val="24"/>
        </w:rPr>
        <w:t xml:space="preserve">Primary persona: VP / Director of Engineering</w:t>
      </w:r>
    </w:p>
    <w:p>
      <w:pPr>
        <w:spacing w:after="160" w:line="276"/>
      </w:pPr>
      <w:r>
        <w:rPr>
          <w:rFonts w:ascii="Arial" w:cs="Arial" w:eastAsia="Arial" w:hAnsi="Arial"/>
          <w:color w:val="333333"/>
          <w:sz w:val="21"/>
          <w:szCs w:val="21"/>
        </w:rPr>
        <w:t xml:space="preserve">This person sits between the technical team and the executive suite. They are preparing for quarterly planning or an annual budget cycle and need to answer a specific question: </w:t>
      </w:r>
      <w:r>
        <w:rPr>
          <w:rFonts w:ascii="Arial" w:cs="Arial" w:eastAsia="Arial" w:hAnsi="Arial"/>
          <w:i/>
          <w:iCs/>
          <w:color w:val="333333"/>
          <w:sz w:val="21"/>
          <w:szCs w:val="21"/>
        </w:rPr>
        <w:t xml:space="preserve">"Should we invest in going from three nines to four nines?"</w:t>
      </w:r>
      <w:r>
        <w:rPr>
          <w:rFonts w:ascii="Arial" w:cs="Arial" w:eastAsia="Arial" w:hAnsi="Arial"/>
          <w:color w:val="333333"/>
          <w:sz w:val="21"/>
          <w:szCs w:val="21"/>
        </w:rPr>
        <w:t xml:space="preserve"> They need to make the answer obvious to a CFO or CEO who thinks in dollars, not percentages.</w:t>
      </w:r>
    </w:p>
    <w:p>
      <w:pPr>
        <w:spacing w:after="160" w:line="276"/>
      </w:pPr>
      <w:r>
        <w:rPr>
          <w:rFonts w:ascii="Arial" w:cs="Arial" w:eastAsia="Arial" w:hAnsi="Arial"/>
          <w:color w:val="333333"/>
          <w:sz w:val="21"/>
          <w:szCs w:val="21"/>
        </w:rPr>
        <w:t xml:space="preserve">Their current workflow involves pulling downtime data, estimating infrastructure and staffing costs in a spreadsheet, and building a slide deck that tries to convey an exponential cost curve using static bullet points. The result is usually a table of numbers that non-technical executives skim past.</w:t>
      </w:r>
    </w:p>
    <w:p>
      <w:pPr>
        <w:spacing w:after="160" w:line="276"/>
      </w:pPr>
      <w:r>
        <w:rPr>
          <w:rFonts w:ascii="Arial" w:cs="Arial" w:eastAsia="Arial" w:hAnsi="Arial"/>
          <w:b/>
          <w:bCs/>
          <w:color w:val="333333"/>
          <w:sz w:val="21"/>
          <w:szCs w:val="21"/>
        </w:rPr>
        <w:t xml:space="preserve">The moment we design for: </w:t>
      </w:r>
      <w:r>
        <w:rPr>
          <w:rFonts w:ascii="Arial" w:cs="Arial" w:eastAsia="Arial" w:hAnsi="Arial"/>
          <w:color w:val="333333"/>
          <w:sz w:val="21"/>
          <w:szCs w:val="21"/>
        </w:rPr>
        <w:t xml:space="preserve">Two weeks before quarterly planning. The VP drags a slider from 99.9% to 99.99% and watches the cost animate from $50K to $500K while the downtime saved drops from 8 hours to 52 minutes per year. They screenshot this and drop it into a slide deck titled "Q3 Infrastructure Investment Proposal." The chart travels to the CFO, gets forwarded to the CTO, and shows up in a Slack thread. The tool’s value is the shareable visual, not the calculation.</w:t>
      </w:r>
    </w:p>
    <w:p>
      <w:pPr>
        <w:pStyle w:val="Heading2"/>
        <w:spacing w:before="280" w:after="160"/>
      </w:pPr>
      <w:r>
        <w:rPr>
          <w:rFonts w:ascii="Arial" w:cs="Arial" w:eastAsia="Arial" w:hAnsi="Arial"/>
          <w:b/>
          <w:bCs/>
          <w:color w:val="2E75B6"/>
          <w:sz w:val="24"/>
          <w:szCs w:val="24"/>
        </w:rPr>
        <w:t xml:space="preserve">Secondary personas (benefit without changing scope)</w:t>
      </w:r>
    </w:p>
    <w:p>
      <w:pPr>
        <w:pStyle w:val="ListParagraph"/>
        <w:numPr>
          <w:ilvl w:val="0"/>
          <w:numId w:val="2"/>
        </w:numPr>
        <w:spacing w:after="80" w:line="276"/>
      </w:pPr>
      <w:r>
        <w:rPr>
          <w:rFonts w:ascii="Arial" w:cs="Arial" w:eastAsia="Arial" w:hAnsi="Arial"/>
          <w:color w:val="333333"/>
          <w:sz w:val="21"/>
          <w:szCs w:val="21"/>
        </w:rPr>
        <w:t xml:space="preserve">SRE / Platform Engineer — Discovers the tool, runs the numbers, shares the link upward. The SRE is the finder; the VP is the buyer.</w:t>
      </w:r>
    </w:p>
    <w:p>
      <w:pPr>
        <w:pStyle w:val="ListParagraph"/>
        <w:numPr>
          <w:ilvl w:val="0"/>
          <w:numId w:val="2"/>
        </w:numPr>
        <w:spacing w:after="80" w:line="276"/>
      </w:pPr>
      <w:r>
        <w:rPr>
          <w:rFonts w:ascii="Arial" w:cs="Arial" w:eastAsia="Arial" w:hAnsi="Arial"/>
          <w:color w:val="333333"/>
          <w:sz w:val="21"/>
          <w:szCs w:val="21"/>
        </w:rPr>
        <w:t xml:space="preserve">Product Manager — Uses the tool to scope reliability targets during roadmap planning. Resolves the tension between "the customer demands five nines" and "that would cost 10× more than four nines."</w:t>
      </w:r>
    </w:p>
    <w:p>
      <w:pPr>
        <w:pStyle w:val="ListParagraph"/>
        <w:numPr>
          <w:ilvl w:val="0"/>
          <w:numId w:val="2"/>
        </w:numPr>
        <w:spacing w:after="80" w:line="276"/>
      </w:pPr>
      <w:r>
        <w:rPr>
          <w:rFonts w:ascii="Arial" w:cs="Arial" w:eastAsia="Arial" w:hAnsi="Arial"/>
          <w:color w:val="333333"/>
          <w:sz w:val="21"/>
          <w:szCs w:val="21"/>
        </w:rPr>
        <w:t xml:space="preserve">Marketing Director — Encounters the same diminishing-returns curve on ad spend. The cross-domain tabs reveal that the pattern they fight is universal, not unique to marketing.</w:t>
      </w:r>
    </w:p>
    <w:p>
      <w:pPr>
        <w:pStyle w:val="ListParagraph"/>
        <w:numPr>
          <w:ilvl w:val="0"/>
          <w:numId w:val="2"/>
        </w:numPr>
        <w:spacing w:after="80" w:line="276"/>
      </w:pPr>
      <w:r>
        <w:rPr>
          <w:rFonts w:ascii="Arial" w:cs="Arial" w:eastAsia="Arial" w:hAnsi="Arial"/>
          <w:color w:val="333333"/>
          <w:sz w:val="21"/>
          <w:szCs w:val="21"/>
        </w:rPr>
        <w:t xml:space="preserve">QA Lead — Uses the coverage template to justify or challenge the team’s test coverage targets with data rather than convention.</w:t>
      </w:r>
    </w:p>
    <w:p>
      <w:pPr>
        <w:spacing w:after="80"/>
      </w:pPr>
    </w:p>
    <w:p>
      <w:pPr>
        <w:pStyle w:val="Heading1"/>
        <w:spacing w:before="360" w:after="200"/>
      </w:pPr>
      <w:r>
        <w:rPr>
          <w:rFonts w:ascii="Arial" w:cs="Arial" w:eastAsia="Arial" w:hAnsi="Arial"/>
          <w:b/>
          <w:bCs/>
          <w:color w:val="1B2A4A"/>
          <w:sz w:val="28"/>
          <w:szCs w:val="28"/>
        </w:rPr>
        <w:t xml:space="preserve">3. Evidence of Pain</w:t>
      </w:r>
    </w:p>
    <w:p>
      <w:pPr>
        <w:pStyle w:val="Heading2"/>
        <w:spacing w:before="280" w:after="160"/>
      </w:pPr>
      <w:r>
        <w:rPr>
          <w:rFonts w:ascii="Arial" w:cs="Arial" w:eastAsia="Arial" w:hAnsi="Arial"/>
          <w:b/>
          <w:bCs/>
          <w:color w:val="2E75B6"/>
          <w:sz w:val="24"/>
          <w:szCs w:val="24"/>
        </w:rPr>
        <w:t xml:space="preserve">The communication gap is well-documented</w:t>
      </w:r>
    </w:p>
    <w:p>
      <w:pPr>
        <w:spacing w:after="160" w:line="276"/>
      </w:pPr>
      <w:r>
        <w:rPr>
          <w:rFonts w:ascii="Arial" w:cs="Arial" w:eastAsia="Arial" w:hAnsi="Arial"/>
          <w:color w:val="333333"/>
          <w:sz w:val="21"/>
          <w:szCs w:val="21"/>
        </w:rPr>
        <w:t xml:space="preserve">Nobl9, a leading SLO platform vendor, captures the problem precisely: engineering leaders asking for millions in cloud infrastructure spend must express how that investment translates into reduced churn and positive marginal revenue. The same source notes that monitoring tools are not designed to communicate in the language of the C-suite—dashboards display operational status, not financial tradeoffs.</w:t>
      </w:r>
    </w:p>
    <w:p>
      <w:pPr>
        <w:spacing w:after="160" w:line="276"/>
      </w:pPr>
      <w:r>
        <w:rPr>
          <w:rFonts w:ascii="Arial" w:cs="Arial" w:eastAsia="Arial" w:hAnsi="Arial"/>
          <w:color w:val="333333"/>
          <w:sz w:val="21"/>
          <w:szCs w:val="21"/>
        </w:rPr>
        <w:t xml:space="preserve">Google’s SRE Book, the canonical industry reference read by hundreds of thousands of engineers, explicitly frames reliability as an economic decision. It documents that an incremental improvement in reliability may cost 100× more than the previous increment. Google provides a worked ROI example, yet no interactive tool automates this calculation for teams outside Google.</w:t>
      </w:r>
    </w:p>
    <w:p>
      <w:pPr>
        <w:pStyle w:val="Heading2"/>
        <w:spacing w:before="280" w:after="160"/>
      </w:pPr>
      <w:r>
        <w:rPr>
          <w:rFonts w:ascii="Arial" w:cs="Arial" w:eastAsia="Arial" w:hAnsi="Arial"/>
          <w:b/>
          <w:bCs/>
          <w:color w:val="2E75B6"/>
          <w:sz w:val="24"/>
          <w:szCs w:val="24"/>
        </w:rPr>
        <w:t xml:space="preserve">The overspend is massive and measurable</w:t>
      </w:r>
    </w:p>
    <w:p>
      <w:pPr>
        <w:spacing w:after="160" w:line="276"/>
      </w:pPr>
      <w:r>
        <w:rPr>
          <w:rFonts w:ascii="Arial" w:cs="Arial" w:eastAsia="Arial" w:hAnsi="Arial"/>
          <w:color w:val="333333"/>
          <w:sz w:val="21"/>
          <w:szCs w:val="21"/>
        </w:rPr>
        <w:t xml:space="preserve">Oxford Economics estimates $400 billion in annual downtime losses for Global 2000 companies, representing 9% of total profits. On the flip side, $44.5 billion in cloud infrastructure is projected to be wasted in 2025, and 89% of organizations report that lack of cloud cost visibility impacts their work. Only 43% track costs at the unit level. The gap between what companies spend on reliability and their ability to know whether that spend is optimal is enormous.</w:t>
      </w:r>
    </w:p>
    <w:p>
      <w:pPr>
        <w:pStyle w:val="Heading2"/>
        <w:spacing w:before="280" w:after="160"/>
      </w:pPr>
      <w:r>
        <w:rPr>
          <w:rFonts w:ascii="Arial" w:cs="Arial" w:eastAsia="Arial" w:hAnsi="Arial"/>
          <w:b/>
          <w:bCs/>
          <w:color w:val="2E75B6"/>
          <w:sz w:val="24"/>
          <w:szCs w:val="24"/>
        </w:rPr>
        <w:t xml:space="preserve">The pattern repeats across domains</w:t>
      </w:r>
    </w:p>
    <w:p>
      <w:pPr>
        <w:spacing w:after="160" w:line="276"/>
      </w:pPr>
      <w:r>
        <w:rPr>
          <w:rFonts w:ascii="Arial" w:cs="Arial" w:eastAsia="Arial" w:hAnsi="Arial"/>
          <w:color w:val="333333"/>
          <w:sz w:val="21"/>
          <w:szCs w:val="21"/>
        </w:rPr>
        <w:t xml:space="preserve">Nearly 75% of performance marketers report diminishing returns from social media ad investments. Gartner’s 2025 CMO Spend Survey found marketing budgets flatlined at 7.7% of revenue while 59% of CMOs report insufficient budget. Companies without proper attribution models misallocate up to 30% of their marketing budget. In testing, Google’s own research shows gains beyond 90% coverage are logarithmic, yet teams default to convention-based targets rather than data-driven analysis.</w:t>
      </w:r>
    </w:p>
    <w:p>
      <w:pPr>
        <w:spacing w:after="80"/>
      </w:pPr>
    </w:p>
    <w:p>
      <w:pPr>
        <w:pStyle w:val="Heading1"/>
        <w:spacing w:before="360" w:after="200"/>
      </w:pPr>
      <w:r>
        <w:rPr>
          <w:rFonts w:ascii="Arial" w:cs="Arial" w:eastAsia="Arial" w:hAnsi="Arial"/>
          <w:b/>
          <w:bCs/>
          <w:color w:val="1B2A4A"/>
          <w:sz w:val="28"/>
          <w:szCs w:val="28"/>
        </w:rPr>
        <w:t xml:space="preserve">4. Existing Alternatives and Why They Fail</w:t>
      </w:r>
    </w:p>
    <w:p>
      <w:pPr>
        <w:spacing w:after="160" w:line="276"/>
      </w:pPr>
      <w:r>
        <w:rPr>
          <w:rFonts w:ascii="Arial" w:cs="Arial" w:eastAsia="Arial" w:hAnsi="Arial"/>
          <w:color w:val="333333"/>
          <w:sz w:val="21"/>
          <w:szCs w:val="21"/>
        </w:rPr>
        <w:t xml:space="preserve">The current landscape has a structural gap. Every existing tool addresses half the equation and ignores the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Too Simple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Uptime.is, Site24x7, fivenines.io, InventiveHQ</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Converts time only. Says nothing about cost, staffing, or ROI. No financial language for executives.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Too Complex</w:t>
            </w:r>
          </w:p>
        </w:tc>
        <w:tc>
          <w:tcPr>
            <w:tcW w:type="dxa" w:w="35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Meta Robyn (R), Google Meridian (Python)</w:t>
            </w:r>
          </w:p>
        </w:tc>
        <w:tc>
          <w:tcPr>
            <w:tcW w:type="dxa" w:w="35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Requires data science expertise, programming skills, and 2–3 years of historical data.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Too Expensive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Nobl9, Datadog SLOs, Northbeam ($2K–$10K+/mo)</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Monitors what happened, not what target to set. No cost-of-nines modeling built in.</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Spreadsheets</w:t>
            </w:r>
          </w:p>
        </w:tc>
        <w:tc>
          <w:tcPr>
            <w:tcW w:type="dxa" w:w="35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Custom Google Sheets, internal wiki pages</w:t>
            </w:r>
          </w:p>
        </w:tc>
        <w:tc>
          <w:tcPr>
            <w:tcW w:type="dxa" w:w="35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Static, not shareable as an interactive artifact. No visual impact. Breaks when assumptions change.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The missing middle: </w:t>
            </w:r>
            <w:r>
              <w:rPr>
                <w:rFonts w:ascii="Arial" w:cs="Arial" w:eastAsia="Arial" w:hAnsi="Arial"/>
                <w:color w:val="1B2A4A"/>
                <w:sz w:val="21"/>
                <w:szCs w:val="21"/>
              </w:rPr>
              <w:t xml:space="preserve">A free, interactive tool that visualizes diminishing returns curves with cost implications. No tool today crosses the threshold from time conversion into cost modeling, revenue impact, or cross-domain applicability.</w:t>
            </w:r>
          </w:p>
        </w:tc>
      </w:tr>
    </w:tbl>
    <w:p>
      <w:pPr>
        <w:spacing w:after="80"/>
      </w:pPr>
    </w:p>
    <w:p>
      <w:pPr>
        <w:pStyle w:val="Heading1"/>
        <w:spacing w:before="360" w:after="200"/>
      </w:pPr>
      <w:r>
        <w:rPr>
          <w:rFonts w:ascii="Arial" w:cs="Arial" w:eastAsia="Arial" w:hAnsi="Arial"/>
          <w:b/>
          <w:bCs/>
          <w:color w:val="1B2A4A"/>
          <w:sz w:val="28"/>
          <w:szCs w:val="28"/>
        </w:rPr>
        <w:t xml:space="preserve">5. The Opportunity</w:t>
      </w:r>
    </w:p>
    <w:p>
      <w:pPr>
        <w:pStyle w:val="Heading2"/>
        <w:spacing w:before="280" w:after="160"/>
      </w:pPr>
      <w:r>
        <w:rPr>
          <w:rFonts w:ascii="Arial" w:cs="Arial" w:eastAsia="Arial" w:hAnsi="Arial"/>
          <w:b/>
          <w:bCs/>
          <w:color w:val="2E75B6"/>
          <w:sz w:val="24"/>
          <w:szCs w:val="24"/>
        </w:rPr>
        <w:t xml:space="preserve">The competitive white space is empty</w:t>
      </w:r>
    </w:p>
    <w:p>
      <w:pPr>
        <w:spacing w:after="160" w:line="276"/>
      </w:pPr>
      <w:r>
        <w:rPr>
          <w:rFonts w:ascii="Arial" w:cs="Arial" w:eastAsia="Arial" w:hAnsi="Arial"/>
          <w:color w:val="333333"/>
          <w:sz w:val="21"/>
          <w:szCs w:val="21"/>
        </w:rPr>
        <w:t xml:space="preserve">A search for "cost of nines calculator" returns zero relevant results. "Diminishing returns calculator" is dominated by video game stat tools and vehicle diminished-value calculators. No business-context diminishing returns tool exists in any searchable form. The SEO terms "cost of nines," "SLA cost calculator," and "diminishing returns calculator" are all unclaimed.</w:t>
      </w:r>
    </w:p>
    <w:p>
      <w:pPr>
        <w:pStyle w:val="Heading2"/>
        <w:spacing w:before="280" w:after="160"/>
      </w:pPr>
      <w:r>
        <w:rPr>
          <w:rFonts w:ascii="Arial" w:cs="Arial" w:eastAsia="Arial" w:hAnsi="Arial"/>
          <w:b/>
          <w:bCs/>
          <w:color w:val="2E75B6"/>
          <w:sz w:val="24"/>
          <w:szCs w:val="24"/>
        </w:rPr>
        <w:t xml:space="preserve">The market context is ideal</w:t>
      </w:r>
    </w:p>
    <w:p>
      <w:pPr>
        <w:spacing w:after="160" w:line="276"/>
      </w:pPr>
      <w:r>
        <w:rPr>
          <w:rFonts w:ascii="Arial" w:cs="Arial" w:eastAsia="Arial" w:hAnsi="Arial"/>
          <w:color w:val="333333"/>
          <w:sz w:val="21"/>
          <w:szCs w:val="21"/>
        </w:rPr>
        <w:t xml:space="preserve">The tool sits at the intersection of three rapidly growing markets: Cloud FinOps ($10–15B, 12–13% CAGR), marketing analytics ($7B+), and SRE services ($2.4B in financial services alone, 19% CAGR). The target audience numbers in the millions: 150K–250K+ SREs globally, 1M+ product managers, 200K–500K engineering leaders, and 500K–1M+ marketing directors.</w:t>
      </w:r>
    </w:p>
    <w:p>
      <w:pPr>
        <w:pStyle w:val="Heading2"/>
        <w:spacing w:before="280" w:after="160"/>
      </w:pPr>
      <w:r>
        <w:rPr>
          <w:rFonts w:ascii="Arial" w:cs="Arial" w:eastAsia="Arial" w:hAnsi="Arial"/>
          <w:b/>
          <w:bCs/>
          <w:color w:val="2E75B6"/>
          <w:sz w:val="24"/>
          <w:szCs w:val="24"/>
        </w:rPr>
        <w:t xml:space="preserve">The cross-domain aha moment is the real product</w:t>
      </w:r>
    </w:p>
    <w:p>
      <w:pPr>
        <w:spacing w:after="160" w:line="276"/>
      </w:pPr>
      <w:r>
        <w:rPr>
          <w:rFonts w:ascii="Arial" w:cs="Arial" w:eastAsia="Arial" w:hAnsi="Arial"/>
          <w:color w:val="333333"/>
          <w:sz w:val="21"/>
          <w:szCs w:val="21"/>
        </w:rPr>
        <w:t xml:space="preserve">The VP of Engineering opens the tool on the Uptime tab. They see the exponential cost curve. They get the point. Then they notice the other tabs—Marketing, Test Coverage, CSAT—and click one. The </w:t>
      </w:r>
      <w:r>
        <w:rPr>
          <w:rFonts w:ascii="Arial" w:cs="Arial" w:eastAsia="Arial" w:hAnsi="Arial"/>
          <w:b/>
          <w:bCs/>
          <w:color w:val="333333"/>
          <w:sz w:val="21"/>
          <w:szCs w:val="21"/>
        </w:rPr>
        <w:t xml:space="preserve">same curve shape</w:t>
      </w:r>
      <w:r>
        <w:rPr>
          <w:rFonts w:ascii="Arial" w:cs="Arial" w:eastAsia="Arial" w:hAnsi="Arial"/>
          <w:color w:val="333333"/>
          <w:sz w:val="21"/>
          <w:szCs w:val="21"/>
        </w:rPr>
        <w:t xml:space="preserve"> appears in a completely different domain.</w:t>
      </w:r>
    </w:p>
    <w:p>
      <w:pPr>
        <w:spacing w:after="160" w:line="276"/>
      </w:pPr>
      <w:r>
        <w:rPr>
          <w:rFonts w:ascii="Arial" w:cs="Arial" w:eastAsia="Arial" w:hAnsi="Arial"/>
          <w:color w:val="333333"/>
          <w:sz w:val="21"/>
          <w:szCs w:val="21"/>
        </w:rPr>
        <w:t xml:space="preserve">That is the real aha moment. Not "uptime gets expensive"—they already suspected that. The revelation is: </w:t>
      </w:r>
      <w:r>
        <w:rPr>
          <w:rFonts w:ascii="Arial" w:cs="Arial" w:eastAsia="Arial" w:hAnsi="Arial"/>
          <w:b/>
          <w:bCs/>
          <w:i/>
          <w:iCs/>
          <w:color w:val="333333"/>
          <w:sz w:val="21"/>
          <w:szCs w:val="21"/>
        </w:rPr>
        <w:t xml:space="preserve">"This same exponential cost pattern is hiding everywhere in my organization."</w:t>
      </w:r>
      <w:r>
        <w:rPr>
          <w:rFonts w:ascii="Arial" w:cs="Arial" w:eastAsia="Arial" w:hAnsi="Arial"/>
          <w:color w:val="333333"/>
          <w:sz w:val="21"/>
          <w:szCs w:val="21"/>
        </w:rPr>
        <w:t xml:space="preserve"> That insight changes how someone thinks, not just how they calculate. It is the kind of moment that makes someone share the tool with their CMO, their QA lead, and their PM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i/>
                <w:iCs/>
                <w:color w:val="1B2A4A"/>
                <w:sz w:val="21"/>
                <w:szCs w:val="21"/>
              </w:rPr>
              <w:t xml:space="preserve">The uptime tab is the door. The cross-domain universality is the room.</w:t>
            </w:r>
          </w:p>
        </w:tc>
      </w:tr>
    </w:tbl>
    <w:p>
      <w:pPr>
        <w:spacing w:after="80"/>
      </w:pPr>
    </w:p>
    <w:p>
      <w:pPr>
        <w:pStyle w:val="Heading1"/>
        <w:spacing w:before="360" w:after="200"/>
      </w:pPr>
      <w:r>
        <w:rPr>
          <w:rFonts w:ascii="Arial" w:cs="Arial" w:eastAsia="Arial" w:hAnsi="Arial"/>
          <w:b/>
          <w:bCs/>
          <w:color w:val="1B2A4A"/>
          <w:sz w:val="28"/>
          <w:szCs w:val="28"/>
        </w:rPr>
        <w:t xml:space="preserve">6. Proposed Solution (High-Level)</w:t>
      </w:r>
    </w:p>
    <w:p>
      <w:pPr>
        <w:spacing w:after="160" w:line="276"/>
      </w:pPr>
      <w:r>
        <w:rPr>
          <w:rFonts w:ascii="Arial" w:cs="Arial" w:eastAsia="Arial" w:hAnsi="Arial"/>
          <w:color w:val="333333"/>
          <w:sz w:val="21"/>
          <w:szCs w:val="21"/>
        </w:rPr>
        <w:t xml:space="preserve">A free, web-based interactive calculator where a user drags a single slider and watches an exponential cost curve respond in real-time, with an animated dollar counter that makes the cost explosion visceral. Four domain templates (Uptime, Marketing Spend, Test Coverage, CSAT) share one parameterized visualization component, reinforcing the universality of diminishing returns.</w:t>
      </w:r>
    </w:p>
    <w:p>
      <w:pPr>
        <w:spacing w:after="160" w:line="276"/>
      </w:pPr>
      <w:r>
        <w:rPr>
          <w:rFonts w:ascii="Arial" w:cs="Arial" w:eastAsia="Arial" w:hAnsi="Arial"/>
          <w:b/>
          <w:bCs/>
          <w:color w:val="333333"/>
          <w:sz w:val="21"/>
          <w:szCs w:val="21"/>
        </w:rPr>
        <w:t xml:space="preserve">Core interaction: </w:t>
      </w:r>
      <w:r>
        <w:rPr>
          <w:rFonts w:ascii="Arial" w:cs="Arial" w:eastAsia="Arial" w:hAnsi="Arial"/>
          <w:color w:val="333333"/>
          <w:sz w:val="21"/>
          <w:szCs w:val="21"/>
        </w:rPr>
        <w:t xml:space="preserve">Slider (target level) → cost curve steepens in real-time → animated counter shows cost exploding. No explanation needed. The insight is self-evident.</w:t>
      </w:r>
    </w:p>
    <w:p>
      <w:pPr>
        <w:spacing w:after="160" w:line="276"/>
      </w:pPr>
      <w:r>
        <w:rPr>
          <w:rFonts w:ascii="Arial" w:cs="Arial" w:eastAsia="Arial" w:hAnsi="Arial"/>
          <w:b/>
          <w:bCs/>
          <w:color w:val="333333"/>
          <w:sz w:val="21"/>
          <w:szCs w:val="21"/>
        </w:rPr>
        <w:t xml:space="preserve">Primary output: </w:t>
      </w:r>
      <w:r>
        <w:rPr>
          <w:rFonts w:ascii="Arial" w:cs="Arial" w:eastAsia="Arial" w:hAnsi="Arial"/>
          <w:color w:val="333333"/>
          <w:sz w:val="21"/>
          <w:szCs w:val="21"/>
        </w:rPr>
        <w:t xml:space="preserve">A shareable, screenshot-ready visual artifact designed to travel into executive presentations, Slack threads, and budget proposals.</w:t>
      </w:r>
    </w:p>
    <w:p>
      <w:pPr>
        <w:spacing w:after="160" w:line="276"/>
      </w:pPr>
      <w:r>
        <w:rPr>
          <w:rFonts w:ascii="Arial" w:cs="Arial" w:eastAsia="Arial" w:hAnsi="Arial"/>
          <w:b/>
          <w:bCs/>
          <w:color w:val="333333"/>
          <w:sz w:val="21"/>
          <w:szCs w:val="21"/>
        </w:rPr>
        <w:t xml:space="preserve">Lead template: </w:t>
      </w:r>
      <w:r>
        <w:rPr>
          <w:rFonts w:ascii="Arial" w:cs="Arial" w:eastAsia="Arial" w:hAnsi="Arial"/>
          <w:color w:val="333333"/>
          <w:sz w:val="21"/>
          <w:szCs w:val="21"/>
        </w:rPr>
        <w:t xml:space="preserve">Uptime/SRE (cleanest math, widest competitive white space, most relevant to FAANG audience).</w:t>
      </w:r>
    </w:p>
    <w:p>
      <w:pPr>
        <w:spacing w:after="160" w:line="276"/>
      </w:pPr>
      <w:r>
        <w:rPr>
          <w:rFonts w:ascii="Arial" w:cs="Arial" w:eastAsia="Arial" w:hAnsi="Arial"/>
          <w:b/>
          <w:bCs/>
          <w:color w:val="333333"/>
          <w:sz w:val="21"/>
          <w:szCs w:val="21"/>
        </w:rPr>
        <w:t xml:space="preserve">Technical approach: </w:t>
      </w:r>
      <w:r>
        <w:rPr>
          <w:rFonts w:ascii="Arial" w:cs="Arial" w:eastAsia="Arial" w:hAnsi="Arial"/>
          <w:color w:val="333333"/>
          <w:sz w:val="21"/>
          <w:szCs w:val="21"/>
        </w:rPr>
        <w:t xml:space="preserve">React (Next.js) + shadcn/ui + Recharts + Framer Motion. Deployed on Vercel.</w:t>
      </w:r>
    </w:p>
    <w:p>
      <w:pPr>
        <w:spacing w:after="80"/>
      </w:pPr>
    </w:p>
    <w:p>
      <w:pPr>
        <w:pStyle w:val="Heading1"/>
        <w:spacing w:before="360" w:after="200"/>
      </w:pPr>
      <w:r>
        <w:rPr>
          <w:rFonts w:ascii="Arial" w:cs="Arial" w:eastAsia="Arial" w:hAnsi="Arial"/>
          <w:b/>
          <w:bCs/>
          <w:color w:val="1B2A4A"/>
          <w:sz w:val="28"/>
          <w:szCs w:val="28"/>
        </w:rPr>
        <w:t xml:space="preserve">7. Success Criteria</w:t>
      </w:r>
    </w:p>
    <w:p>
      <w:pPr>
        <w:pStyle w:val="Heading2"/>
        <w:spacing w:before="280" w:after="160"/>
      </w:pPr>
      <w:r>
        <w:rPr>
          <w:rFonts w:ascii="Arial" w:cs="Arial" w:eastAsia="Arial" w:hAnsi="Arial"/>
          <w:b/>
          <w:bCs/>
          <w:color w:val="2E75B6"/>
          <w:sz w:val="24"/>
          <w:szCs w:val="24"/>
        </w:rPr>
        <w:t xml:space="preserve">For the user</w:t>
      </w:r>
    </w:p>
    <w:p>
      <w:pPr>
        <w:pStyle w:val="ListParagraph"/>
        <w:numPr>
          <w:ilvl w:val="0"/>
          <w:numId w:val="2"/>
        </w:numPr>
        <w:spacing w:after="80" w:line="276"/>
      </w:pPr>
      <w:r>
        <w:rPr>
          <w:rFonts w:ascii="Arial" w:cs="Arial" w:eastAsia="Arial" w:hAnsi="Arial"/>
          <w:color w:val="333333"/>
          <w:sz w:val="21"/>
          <w:szCs w:val="21"/>
        </w:rPr>
        <w:t xml:space="preserve">A VP of Engineering can build a compelling budget justification visual in under 60 seconds, without signing up or configuring anything.</w:t>
      </w:r>
    </w:p>
    <w:p>
      <w:pPr>
        <w:pStyle w:val="ListParagraph"/>
        <w:numPr>
          <w:ilvl w:val="0"/>
          <w:numId w:val="2"/>
        </w:numPr>
        <w:spacing w:after="80" w:line="276"/>
      </w:pPr>
      <w:r>
        <w:rPr>
          <w:rFonts w:ascii="Arial" w:cs="Arial" w:eastAsia="Arial" w:hAnsi="Arial"/>
          <w:color w:val="333333"/>
          <w:sz w:val="21"/>
          <w:szCs w:val="21"/>
        </w:rPr>
        <w:t xml:space="preserve">The output (screenshot or shared link) is clear enough for a CFO to understand without a verbal walkthrough.</w:t>
      </w:r>
    </w:p>
    <w:p>
      <w:pPr>
        <w:pStyle w:val="ListParagraph"/>
        <w:numPr>
          <w:ilvl w:val="0"/>
          <w:numId w:val="2"/>
        </w:numPr>
        <w:spacing w:after="80" w:line="276"/>
      </w:pPr>
      <w:r>
        <w:rPr>
          <w:rFonts w:ascii="Arial" w:cs="Arial" w:eastAsia="Arial" w:hAnsi="Arial"/>
          <w:color w:val="333333"/>
          <w:sz w:val="21"/>
          <w:szCs w:val="21"/>
        </w:rPr>
        <w:t xml:space="preserve">The cross-domain tabs create a genuine "aha moment" that changes how the user thinks about resource allocation across their organization.</w:t>
      </w:r>
    </w:p>
    <w:p>
      <w:pPr>
        <w:pStyle w:val="Heading2"/>
        <w:spacing w:before="280" w:after="160"/>
      </w:pPr>
      <w:r>
        <w:rPr>
          <w:rFonts w:ascii="Arial" w:cs="Arial" w:eastAsia="Arial" w:hAnsi="Arial"/>
          <w:b/>
          <w:bCs/>
          <w:color w:val="2E75B6"/>
          <w:sz w:val="24"/>
          <w:szCs w:val="24"/>
        </w:rPr>
        <w:t xml:space="preserve">For the portfolio</w:t>
      </w:r>
    </w:p>
    <w:p>
      <w:pPr>
        <w:pStyle w:val="ListParagraph"/>
        <w:numPr>
          <w:ilvl w:val="0"/>
          <w:numId w:val="2"/>
        </w:numPr>
        <w:spacing w:after="80" w:line="276"/>
      </w:pPr>
      <w:r>
        <w:rPr>
          <w:rFonts w:ascii="Arial" w:cs="Arial" w:eastAsia="Arial" w:hAnsi="Arial"/>
          <w:color w:val="333333"/>
          <w:sz w:val="21"/>
          <w:szCs w:val="21"/>
        </w:rPr>
        <w:t xml:space="preserve">Demonstrates product sense: identifying a universal insight, scoping it to a specific persona and moment, and designing around the communication need rather than the computational one.</w:t>
      </w:r>
    </w:p>
    <w:p>
      <w:pPr>
        <w:pStyle w:val="ListParagraph"/>
        <w:numPr>
          <w:ilvl w:val="0"/>
          <w:numId w:val="2"/>
        </w:numPr>
        <w:spacing w:after="80" w:line="276"/>
      </w:pPr>
      <w:r>
        <w:rPr>
          <w:rFonts w:ascii="Arial" w:cs="Arial" w:eastAsia="Arial" w:hAnsi="Arial"/>
          <w:color w:val="333333"/>
          <w:sz w:val="21"/>
          <w:szCs w:val="21"/>
        </w:rPr>
        <w:t xml:space="preserve">Demonstrates technical execution: production-grade interactive data visualization with real-time animation, accessible UI, and polished micro-interactions.</w:t>
      </w:r>
    </w:p>
    <w:p>
      <w:pPr>
        <w:pStyle w:val="ListParagraph"/>
        <w:numPr>
          <w:ilvl w:val="0"/>
          <w:numId w:val="2"/>
        </w:numPr>
        <w:spacing w:after="80" w:line="276"/>
      </w:pPr>
      <w:r>
        <w:rPr>
          <w:rFonts w:ascii="Arial" w:cs="Arial" w:eastAsia="Arial" w:hAnsi="Arial"/>
          <w:color w:val="333333"/>
          <w:sz w:val="21"/>
          <w:szCs w:val="21"/>
        </w:rPr>
        <w:t xml:space="preserve">Demonstrates market awareness: grounded in published data (Google SRE Book, Gartner, Oxford Economics), positioned in a validated competitive white space, and designed with organic distribution mechanics.</w:t>
      </w:r>
    </w:p>
    <w:p>
      <w:pPr>
        <w:pStyle w:val="ListParagraph"/>
        <w:numPr>
          <w:ilvl w:val="0"/>
          <w:numId w:val="2"/>
        </w:numPr>
        <w:spacing w:after="80" w:line="276"/>
      </w:pPr>
      <w:r>
        <w:rPr>
          <w:rFonts w:ascii="Arial" w:cs="Arial" w:eastAsia="Arial" w:hAnsi="Arial"/>
          <w:color w:val="333333"/>
          <w:sz w:val="21"/>
          <w:szCs w:val="21"/>
        </w:rPr>
        <w:t xml:space="preserve">Serves as the flagship piece in the DecisionDock portfolio, signaling readiness for senior PM roles at FAANG-tier companies.</w:t>
      </w:r>
    </w:p>
    <w:p>
      <w:pPr>
        <w:spacing w:after="80"/>
      </w:pPr>
    </w:p>
    <w:p>
      <w:pPr>
        <w:pStyle w:val="Heading1"/>
        <w:spacing w:before="360" w:after="200"/>
      </w:pPr>
      <w:r>
        <w:rPr>
          <w:rFonts w:ascii="Arial" w:cs="Arial" w:eastAsia="Arial" w:hAnsi="Arial"/>
          <w:b/>
          <w:bCs/>
          <w:color w:val="1B2A4A"/>
          <w:sz w:val="28"/>
          <w:szCs w:val="28"/>
        </w:rPr>
        <w:t xml:space="preserve">8. What This Brief Does Not Cover</w:t>
      </w:r>
    </w:p>
    <w:p>
      <w:pPr>
        <w:spacing w:after="160" w:line="276"/>
      </w:pPr>
      <w:r>
        <w:rPr>
          <w:rFonts w:ascii="Arial" w:cs="Arial" w:eastAsia="Arial" w:hAnsi="Arial"/>
          <w:color w:val="333333"/>
          <w:sz w:val="21"/>
          <w:szCs w:val="21"/>
        </w:rPr>
        <w:t xml:space="preserve">This Problem Brief establishes the </w:t>
      </w:r>
      <w:r>
        <w:rPr>
          <w:rFonts w:ascii="Arial" w:cs="Arial" w:eastAsia="Arial" w:hAnsi="Arial"/>
          <w:i/>
          <w:iCs/>
          <w:color w:val="333333"/>
          <w:sz w:val="21"/>
          <w:szCs w:val="21"/>
        </w:rPr>
        <w:t xml:space="preserve">why</w:t>
      </w:r>
      <w:r>
        <w:rPr>
          <w:rFonts w:ascii="Arial" w:cs="Arial" w:eastAsia="Arial" w:hAnsi="Arial"/>
          <w:color w:val="333333"/>
          <w:sz w:val="21"/>
          <w:szCs w:val="21"/>
        </w:rPr>
        <w:t xml:space="preserve"> and </w:t>
      </w:r>
      <w:r>
        <w:rPr>
          <w:rFonts w:ascii="Arial" w:cs="Arial" w:eastAsia="Arial" w:hAnsi="Arial"/>
          <w:i/>
          <w:iCs/>
          <w:color w:val="333333"/>
          <w:sz w:val="21"/>
          <w:szCs w:val="21"/>
        </w:rPr>
        <w:t xml:space="preserve">for whom</w:t>
      </w:r>
      <w:r>
        <w:rPr>
          <w:rFonts w:ascii="Arial" w:cs="Arial" w:eastAsia="Arial" w:hAnsi="Arial"/>
          <w:color w:val="333333"/>
          <w:sz w:val="21"/>
          <w:szCs w:val="21"/>
        </w:rPr>
        <w:t xml:space="preserve">. The following documents will address the remaining questions:</w:t>
      </w:r>
    </w:p>
    <w:p>
      <w:pPr>
        <w:pStyle w:val="ListParagraph"/>
        <w:numPr>
          <w:ilvl w:val="0"/>
          <w:numId w:val="2"/>
        </w:numPr>
        <w:spacing w:after="80" w:line="276"/>
      </w:pPr>
      <w:r>
        <w:rPr>
          <w:rFonts w:ascii="Arial" w:cs="Arial" w:eastAsia="Arial" w:hAnsi="Arial"/>
          <w:color w:val="333333"/>
          <w:sz w:val="21"/>
          <w:szCs w:val="21"/>
        </w:rPr>
        <w:t xml:space="preserve">PRD (Product Requirements Document) — Exact scope, user stories, feature priorities, and v1 vs. future boundaries.</w:t>
      </w:r>
    </w:p>
    <w:p>
      <w:pPr>
        <w:pStyle w:val="ListParagraph"/>
        <w:numPr>
          <w:ilvl w:val="0"/>
          <w:numId w:val="2"/>
        </w:numPr>
        <w:spacing w:after="80" w:line="276"/>
      </w:pPr>
      <w:r>
        <w:rPr>
          <w:rFonts w:ascii="Arial" w:cs="Arial" w:eastAsia="Arial" w:hAnsi="Arial"/>
          <w:color w:val="333333"/>
          <w:sz w:val="21"/>
          <w:szCs w:val="21"/>
        </w:rPr>
        <w:t xml:space="preserve">Design Doc — Information architecture, interaction model, wireframes, and the specific design decisions that shape how the product feels.</w:t>
      </w:r>
    </w:p>
    <w:p>
      <w:pPr>
        <w:pStyle w:val="ListParagraph"/>
        <w:numPr>
          <w:ilvl w:val="0"/>
          <w:numId w:val="2"/>
        </w:numPr>
        <w:spacing w:after="80" w:line="276"/>
      </w:pPr>
      <w:r>
        <w:rPr>
          <w:rFonts w:ascii="Arial" w:cs="Arial" w:eastAsia="Arial" w:hAnsi="Arial"/>
          <w:color w:val="333333"/>
          <w:sz w:val="21"/>
          <w:szCs w:val="21"/>
        </w:rPr>
        <w:t xml:space="preserve">Technical Plan — Component architecture, data models, build sequence, and deployment strategy.</w:t>
      </w:r>
    </w:p>
    <w:p>
      <w:pPr>
        <w:spacing w:after="120"/>
      </w:pPr>
    </w:p>
    <w:p>
      <w:pPr>
        <w:pBdr>
          <w:top w:val="single" w:color="2E75B6" w:sz="2" w:space="8"/>
        </w:pBdr>
        <w:spacing w:before="240" w:after="0"/>
        <w:jc w:val="center"/>
      </w:pPr>
      <w:r>
        <w:rPr>
          <w:rFonts w:ascii="Arial" w:cs="Arial" w:eastAsia="Arial" w:hAnsi="Arial"/>
          <w:i/>
          <w:iCs/>
          <w:color w:val="555555"/>
          <w:sz w:val="20"/>
          <w:szCs w:val="20"/>
        </w:rPr>
        <w:t xml:space="preserve">End of Problem Brief  •  Next step: PRD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jc w:val="right"/>
    </w:pPr>
    <w:r>
      <w:rPr>
        <w:rFonts w:ascii="Arial" w:cs="Arial" w:eastAsia="Arial" w:hAnsi="Arial"/>
        <w:b/>
        <w:bCs/>
        <w:color w:val="2E75B6"/>
        <w:sz w:val="16"/>
        <w:szCs w:val="16"/>
      </w:rPr>
      <w:t xml:space="preserve">DECISIONDOCK  </w:t>
    </w:r>
    <w:r>
      <w:rPr>
        <w:rFonts w:ascii="Arial" w:cs="Arial" w:eastAsia="Arial" w:hAnsi="Arial"/>
        <w:color w:val="555555"/>
        <w:sz w:val="16"/>
        <w:szCs w:val="16"/>
      </w:rPr>
      <w:t xml:space="preserve">|  Problem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2026-03-01T01:22:20.360Z</dcterms:created>
  <dcterms:modified xsi:type="dcterms:W3CDTF">2026-03-01T01:22:20.360Z</dcterms:modified>
</cp:coreProperties>
</file>

<file path=docProps/custom.xml><?xml version="1.0" encoding="utf-8"?>
<Properties xmlns="http://schemas.openxmlformats.org/officeDocument/2006/custom-properties" xmlns:vt="http://schemas.openxmlformats.org/officeDocument/2006/docPropsVTypes"/>
</file>