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ISO/IEC 42001:2023 – Clause 4.1</w:t>
        <w:br/>
        <w:t>Organization Context</w:t>
        <w:br/>
        <w:t>Sample Project: AI-Based Medical Diagnostic System</w:t>
      </w:r>
    </w:p>
    <w:p>
      <w:r>
        <w:rPr>
          <w:b/>
        </w:rPr>
        <w:t>Document Information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MedVision Diagnostics Pvt. Ltd.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Healthcare Technology</w:t>
            </w:r>
          </w:p>
        </w:tc>
      </w:tr>
      <w:tr>
        <w:tc>
          <w:tcPr>
            <w:tcW w:type="dxa" w:w="4320"/>
          </w:tcPr>
          <w:p>
            <w:r>
              <w:t>AI System</w:t>
            </w:r>
          </w:p>
        </w:tc>
        <w:tc>
          <w:tcPr>
            <w:tcW w:type="dxa" w:w="4320"/>
          </w:tcPr>
          <w:p>
            <w:r>
              <w:t>AI-Based Medical Diagnostic System</w:t>
            </w:r>
          </w:p>
        </w:tc>
      </w:tr>
      <w:tr>
        <w:tc>
          <w:tcPr>
            <w:tcW w:type="dxa" w:w="4320"/>
          </w:tcPr>
          <w:p>
            <w:r>
              <w:t>Clause</w:t>
            </w:r>
          </w:p>
        </w:tc>
        <w:tc>
          <w:tcPr>
            <w:tcW w:type="dxa" w:w="4320"/>
          </w:tcPr>
          <w:p>
            <w:r>
              <w:t>4.1 – Understanding the Organization and Its Context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1. Purpose</w:t>
      </w:r>
    </w:p>
    <w:p>
      <w:r>
        <w:t>Identify internal and external issues influencing the AI Management System (AIMS) and support responsible development, deployment, monitoring, patient safety, regulatory compliance, and continual improvement.</w:t>
      </w:r>
    </w:p>
    <w:p>
      <w:pPr>
        <w:pStyle w:val="Heading2"/>
      </w:pPr>
      <w:r>
        <w:t>2. Organization Overview</w:t>
      </w:r>
    </w:p>
    <w:p>
      <w:r>
        <w:t>MedVision Diagnostics develops AI-assisted diagnostic software for hospitals and diagnostic centers. AI analyzes chest X-rays, CT, MRI, mammography, and retinal images to support clinicians. Final diagnosis is always made by a qualified healthcare professional.</w:t>
      </w:r>
    </w:p>
    <w:p>
      <w:pPr>
        <w:pStyle w:val="Heading2"/>
      </w:pPr>
      <w:r>
        <w:t>3. Mission</w:t>
      </w:r>
    </w:p>
    <w:p>
      <w:r>
        <w:t>Improve healthcare outcomes through safe, accurate, ethical, and trustworthy AI.</w:t>
      </w:r>
    </w:p>
    <w:p>
      <w:pPr>
        <w:pStyle w:val="Heading2"/>
      </w:pPr>
      <w:r>
        <w:t>4. Vision</w:t>
      </w:r>
    </w:p>
    <w:p>
      <w:r>
        <w:t>Become a globally trusted provider of AI-powered diagnostic solutions.</w:t>
      </w:r>
    </w:p>
    <w:p>
      <w:pPr>
        <w:pStyle w:val="Heading2"/>
      </w:pPr>
      <w:r>
        <w:t>5. Strategic Objectives</w:t>
      </w:r>
    </w:p>
    <w:p>
      <w:r>
        <w:t>• Improve diagnostic accuracy</w:t>
        <w:br/>
        <w:t>• Reduce diagnosis time</w:t>
        <w:br/>
        <w:t>• Enhance patient safety</w:t>
        <w:br/>
        <w:t>• Regulatory compliance</w:t>
        <w:br/>
        <w:t>• Responsible AI</w:t>
      </w:r>
    </w:p>
    <w:p>
      <w:pPr>
        <w:pStyle w:val="Heading2"/>
      </w:pPr>
      <w:r>
        <w:t>6. Internal Issues (Mandatory)</w:t>
      </w:r>
    </w:p>
    <w:p>
      <w:r>
        <w:t>Leadership commitment, clinical validation, data quality, AI expertise, information security, AI governance, human oversight, software lifecycle.</w:t>
      </w:r>
    </w:p>
    <w:p>
      <w:pPr>
        <w:pStyle w:val="Heading2"/>
      </w:pPr>
      <w:r>
        <w:t>7. External Issues (Mandatory)</w:t>
      </w:r>
    </w:p>
    <w:p>
      <w:r>
        <w:t>Healthcare regulations, privacy laws, clinical standards, technology evolution, third-party AI, cybersecurity threats, customer expectations, regulatory expectations.</w:t>
      </w:r>
    </w:p>
    <w:p>
      <w:pPr>
        <w:pStyle w:val="Heading2"/>
      </w:pPr>
      <w:r>
        <w:t>8. AI Governance Challenges</w:t>
      </w:r>
    </w:p>
    <w:p>
      <w:r>
        <w:t>Bias, explainability, privacy, model drift, third-party risks, documentation, accountability.</w:t>
      </w:r>
    </w:p>
    <w:p>
      <w:pPr>
        <w:pStyle w:val="Heading2"/>
      </w:pPr>
      <w:r>
        <w:t>9. Opportunities</w:t>
      </w:r>
    </w:p>
    <w:p>
      <w:r>
        <w:t>Improved patient safety, governance, transparency, monitoring, regulatory readiness.</w:t>
      </w:r>
    </w:p>
    <w:p>
      <w:pPr>
        <w:pStyle w:val="Heading2"/>
      </w:pPr>
      <w:r>
        <w:t>10. Impact on AIMS (Mandatory)</w:t>
      </w:r>
    </w:p>
    <w:p>
      <w:r>
        <w:t>Context drives AI policies, risk assessments, lifecycle controls, human oversight, monitoring, audits, and continual improvement.</w:t>
      </w:r>
    </w:p>
    <w:p>
      <w:pPr>
        <w:pStyle w:val="Heading2"/>
      </w:pPr>
      <w:r>
        <w:t>11. Inputs Used</w:t>
      </w:r>
    </w:p>
    <w:p>
      <w:r>
        <w:t>Business strategy, AI inventory, risk register, governance policy, security policy, audit reports, clinical validation reports.</w:t>
      </w:r>
    </w:p>
    <w:p>
      <w:pPr>
        <w:pStyle w:val="Heading2"/>
      </w:pPr>
      <w:r>
        <w:t>12. Review</w:t>
      </w:r>
    </w:p>
    <w:p>
      <w:r>
        <w:t>Review annually, before new AI models, after incidents, regulatory changes, and management review.</w:t>
      </w:r>
    </w:p>
    <w:p>
      <w:pPr>
        <w:pStyle w:val="Heading2"/>
      </w:pPr>
      <w:r>
        <w:t>Mandatory vs Recommended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Internal Issues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Required evidence</w:t>
            </w:r>
          </w:p>
        </w:tc>
      </w:tr>
      <w:tr>
        <w:tc>
          <w:tcPr>
            <w:tcW w:type="dxa" w:w="2880"/>
          </w:tcPr>
          <w:p>
            <w:r>
              <w:t>External Issues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Required evidence</w:t>
            </w:r>
          </w:p>
        </w:tc>
      </w:tr>
      <w:tr>
        <w:tc>
          <w:tcPr>
            <w:tcW w:type="dxa" w:w="2880"/>
          </w:tcPr>
          <w:p>
            <w:r>
              <w:t>Impact on AIMS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Show influence on AIMS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Organization Overview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Mission &amp; Vision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SWOT/PESTLE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value-add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