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八</w:t>
      </w:r>
      <w:r>
        <w:rPr>
          <w:rFonts w:hint="eastAsia"/>
        </w:rPr>
        <w:t>次例会</w:t>
      </w:r>
    </w:p>
    <w:p>
      <w:pPr>
        <w:rPr>
          <w:rFonts w:hint="eastAsia"/>
        </w:rPr>
      </w:pPr>
      <w:r>
        <w:rPr>
          <w:rFonts w:hint="eastAsia"/>
        </w:rPr>
        <w:t>时间：</w:t>
      </w:r>
      <w:r>
        <w:t>2015/10/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：00——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:30</w:t>
      </w:r>
    </w:p>
    <w:p>
      <w:pPr>
        <w:rPr>
          <w:rFonts w:hint="eastAsia"/>
        </w:rPr>
      </w:pPr>
      <w:r>
        <w:rPr>
          <w:rFonts w:hint="eastAsia"/>
        </w:rPr>
        <w:t>地点：</w:t>
      </w:r>
      <w:r>
        <w:rPr>
          <w:rFonts w:hint="eastAsia"/>
          <w:lang w:val="en-US" w:eastAsia="zh-CN"/>
        </w:rPr>
        <w:t>五食堂</w:t>
      </w:r>
    </w:p>
    <w:p>
      <w:pPr>
        <w:rPr>
          <w:rFonts w:hint="eastAsia"/>
        </w:rPr>
      </w:pPr>
      <w:r>
        <w:rPr>
          <w:rFonts w:hint="eastAsia"/>
        </w:rPr>
        <w:t>参与人员： 何永俊、邓逸鹏、黄迪璇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许玥琪</w:t>
      </w:r>
      <w:r>
        <w:rPr>
          <w:rFonts w:hint="eastAsia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会议记录人：邓逸鹏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例会内容：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关于体系结构风格的选择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经过讨论，选择分层风格作为项目体系结构风格，便于并行开发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2、关于体系结构设计阶段的分工：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为了让大家更加清晰了解体系结构设计阶段的工作程序，仍旧按照模块分工，每个人根据自己的模块负责相应的体系结构设计模型、体系结构设计文档和体系结构原型代码（含桩驱动与驱动程序）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568103">
    <w:nsid w:val="56852BE7"/>
    <w:multiLevelType w:val="singleLevel"/>
    <w:tmpl w:val="56852BE7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15681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175506"/>
    <w:rsid w:val="6B1755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2015-12-31T13:07:00Z</dcterms:created>
  <dc:creator>dyp</dc:creator>
  <cp:lastModifiedBy>dyp</cp:lastModifiedBy>
  <dcterms:modified xsi:type="dcterms:W3CDTF">2015-12-31T13:14:37Z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