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8"/>
        </w:rPr>
        <w:t>Safe Use of Generative AI at Work: Data Leak Prevention</w:t>
      </w:r>
    </w:p>
    <w:p>
      <w:pPr>
        <w:spacing w:after="480"/>
        <w:jc w:val="center"/>
      </w:pPr>
      <w:r>
        <w:rPr>
          <w:i/>
          <w:color w:val="555555"/>
          <w:sz w:val="24"/>
        </w:rPr>
        <w:t>Capstone Research Report | Target Audience: College Students, Interns &amp; Small Project Teams</w:t>
      </w:r>
    </w:p>
    <w:tbl>
      <w:tblPr>
        <w:tblW w:type="auto" w:w="0"/>
        <w:jc w:val="center"/>
        <w:tblLayout w:type="fixed"/>
        <w:tblLook w:firstColumn="1" w:firstRow="1" w:lastColumn="0" w:lastRow="0" w:noHBand="0" w:noVBand="1" w:val="04A0"/>
      </w:tblPr>
      <w:tblGrid>
        <w:gridCol w:w="9360"/>
      </w:tblGrid>
      <w:tr>
        <w:tc>
          <w:tcPr>
            <w:tcW w:type="dxa" w:w="9360"/>
            <w:shd w:fill="EBF3F5"/>
            <w:tcMar>
              <w:top w:w="140" w:type="dxa"/>
              <w:bottom w:w="140" w:type="dxa"/>
              <w:left w:w="200" w:type="dxa"/>
              <w:right w:w="200" w:type="dxa"/>
            </w:tcMar>
            <w:tcBorders>
              <w:left w:val="single" w:sz="24" w:space="0" w:color="1B365D"/>
              <w:top w:val="none"/>
              <w:right w:val="none"/>
              <w:bottom w:val="none"/>
            </w:tcBorders>
          </w:tcPr>
          <w:p>
            <w:pPr>
              <w:spacing w:after="80"/>
            </w:pPr>
            <w:r>
              <w:rPr>
                <w:b/>
                <w:color w:val="1B365D"/>
                <w:sz w:val="22"/>
              </w:rPr>
              <w:t>EXECUTIVE SUMMARY &amp; RESEARCH FOCUS</w:t>
            </w:r>
          </w:p>
          <w:p>
            <w:pPr>
              <w:spacing w:after="0"/>
            </w:pPr>
            <w:r>
              <w:t>Generative AI (GenAI) tools—such as OpenAI ChatGPT, Google Gemini, Anthropic Claude, and GitHub Copilot—offer powerful capabilities for analysis, writing, and software development. However, entering proprietary or confidential information into consumer-grade AI tools exposes organizations to serious data loss, compliance violations, and security incidents.</w:t>
              <w:br/>
              <w:br/>
              <w:t>Research Question: How can students and small teams use generative AI tools without leaking private or confidential data?</w:t>
              <w:br/>
              <w:br/>
              <w:t>This capstone report provides a comprehensive review of data leak mechanisms, policy differences between consumer and enterprise tier models, relevant cybersecurity frameworks (NIST, CERT-In), official vendor privacy terms, practical mitigation controls, and common misconceptions surrounding AI data protection.</w:t>
            </w:r>
          </w:p>
        </w:tc>
      </w:tr>
    </w:tbl>
    <w:p>
      <w:pPr>
        <w:spacing w:after="240"/>
      </w:pPr>
    </w:p>
    <w:p>
      <w:pPr>
        <w:keepNext/>
        <w:spacing w:before="360" w:after="120"/>
      </w:pPr>
      <w:r>
        <w:rPr>
          <w:b/>
          <w:color w:val="1B365D"/>
          <w:sz w:val="36"/>
        </w:rPr>
        <w:t>1. Common Data-Leak Risks in Generative AI</w:t>
      </w:r>
    </w:p>
    <w:p>
      <w:r>
        <w:t>When users interact with GenAI platforms, data can leak through three primary pathways:</w:t>
      </w:r>
    </w:p>
    <w:p>
      <w:pPr>
        <w:pStyle w:val="ListBullet"/>
        <w:spacing w:after="80"/>
      </w:pPr>
      <w:r>
        <w:rPr>
          <w:b/>
          <w:color w:val="1B365D"/>
        </w:rPr>
        <w:t xml:space="preserve">Model Retraining &amp; Ingestion: </w:t>
      </w:r>
      <w:r>
        <w:t>In standard consumer products, user inputs (prompts) and outputs (responses) are logged and utilized by default to train and fine-tune future foundation models. Sensitive data entered today can be implicitly memorized by the model and subsequently surfaced to external users via subtle prompt engineering or data exfiltration attacks.</w:t>
      </w:r>
    </w:p>
    <w:p>
      <w:pPr>
        <w:pStyle w:val="ListBullet"/>
        <w:spacing w:after="80"/>
      </w:pPr>
      <w:r>
        <w:rPr>
          <w:b/>
          <w:color w:val="1B365D"/>
        </w:rPr>
        <w:t xml:space="preserve">Human Logging and Review: </w:t>
      </w:r>
      <w:r>
        <w:t>Providers employ human annotators and third-party safety reviewers to evaluate prompt safety and output quality. Prompts logged in consumer tiers may be stored in plain text and reviewed by human contractors, exposing sensitive data to external workers.</w:t>
      </w:r>
    </w:p>
    <w:p>
      <w:pPr>
        <w:pStyle w:val="ListBullet"/>
        <w:spacing w:after="80"/>
      </w:pPr>
      <w:r>
        <w:rPr>
          <w:b/>
          <w:color w:val="1B365D"/>
        </w:rPr>
        <w:t xml:space="preserve">Session Breaches and Shared Accounts: </w:t>
      </w:r>
      <w:r>
        <w:t>In small teams, shared consumer accounts, public link generation, and weak account security can reveal past session transcripts and prompt histories to unauthorized team members or external threat actors.</w:t>
      </w:r>
    </w:p>
    <w:p>
      <w:pPr>
        <w:keepNext/>
        <w:spacing w:before="360" w:after="120"/>
      </w:pPr>
      <w:r>
        <w:rPr>
          <w:b/>
          <w:color w:val="1B365D"/>
          <w:sz w:val="36"/>
        </w:rPr>
        <w:t>2. Risk Profiles by Sensitive Data Category</w:t>
      </w:r>
    </w:p>
    <w:p>
      <w:r>
        <w:t>Different data types introduce unique exposures when submitted to public GenAI systems: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Pr>
          <w:p>
            <w:r>
              <w:rPr>
                <w:b/>
                <w:color w:val="FFFFFF"/>
                <w:sz w:val="20"/>
              </w:rPr>
              <w:t>Sensitive Data Category</w:t>
            </w:r>
          </w:p>
        </w:tc>
        <w:tc>
          <w:tcPr>
            <w:tcW w:type="dxa" w:w="4608"/>
            <w:shd w:fill="1B365D"/>
            <w:tcMar>
              <w:top w:w="120" w:type="dxa"/>
              <w:bottom w:w="120" w:type="dxa"/>
              <w:left w:w="120" w:type="dxa"/>
              <w:right w:w="120" w:type="dxa"/>
            </w:tcMar>
          </w:tcPr>
          <w:p>
            <w:r>
              <w:rPr>
                <w:b/>
                <w:color w:val="FFFFFF"/>
                <w:sz w:val="20"/>
              </w:rPr>
              <w:t>Primary Risk Mechanism</w:t>
            </w:r>
          </w:p>
        </w:tc>
        <w:tc>
          <w:tcPr>
            <w:tcW w:type="dxa" w:w="2160"/>
            <w:shd w:fill="1B365D"/>
            <w:tcMar>
              <w:top w:w="120" w:type="dxa"/>
              <w:bottom w:w="120" w:type="dxa"/>
              <w:left w:w="120" w:type="dxa"/>
              <w:right w:w="120" w:type="dxa"/>
            </w:tcMar>
          </w:tcPr>
          <w:p>
            <w:r>
              <w:rPr>
                <w:b/>
                <w:color w:val="FFFFFF"/>
                <w:sz w:val="20"/>
              </w:rPr>
              <w:t>Severity &amp; Impact</w:t>
            </w:r>
          </w:p>
        </w:tc>
      </w:tr>
      <w:tr>
        <w:tc>
          <w:tcPr>
            <w:tcW w:type="dxa" w:w="2592"/>
            <w:shd w:fill="F4F6F8"/>
            <w:tcMar>
              <w:top w:w="80" w:type="dxa"/>
              <w:bottom w:w="80" w:type="dxa"/>
              <w:left w:w="100" w:type="dxa"/>
              <w:right w:w="100" w:type="dxa"/>
            </w:tcMar>
          </w:tcPr>
          <w:p>
            <w:pPr>
              <w:spacing w:after="0"/>
            </w:pPr>
            <w:r>
              <w:rPr>
                <w:sz w:val="19"/>
              </w:rPr>
              <w:t>Personal Identifiable Information (PII)</w:t>
            </w:r>
          </w:p>
        </w:tc>
        <w:tc>
          <w:tcPr>
            <w:tcW w:type="dxa" w:w="4608"/>
            <w:shd w:fill="F4F6F8"/>
            <w:tcMar>
              <w:top w:w="80" w:type="dxa"/>
              <w:bottom w:w="80" w:type="dxa"/>
              <w:left w:w="100" w:type="dxa"/>
              <w:right w:w="100" w:type="dxa"/>
            </w:tcMar>
          </w:tcPr>
          <w:p>
            <w:pPr>
              <w:spacing w:after="0"/>
            </w:pPr>
            <w:r>
              <w:rPr>
                <w:sz w:val="19"/>
              </w:rPr>
              <w:t>Ingestion into training sets; exposure to human reviewers.</w:t>
            </w:r>
          </w:p>
        </w:tc>
        <w:tc>
          <w:tcPr>
            <w:tcW w:type="dxa" w:w="2160"/>
            <w:shd w:fill="F4F6F8"/>
            <w:tcMar>
              <w:top w:w="80" w:type="dxa"/>
              <w:bottom w:w="80" w:type="dxa"/>
              <w:left w:w="100" w:type="dxa"/>
              <w:right w:w="100" w:type="dxa"/>
            </w:tcMar>
          </w:tcPr>
          <w:p>
            <w:pPr>
              <w:spacing w:after="0"/>
            </w:pPr>
            <w:r>
              <w:rPr>
                <w:sz w:val="19"/>
              </w:rPr>
              <w:t>High — Violates GDPR/DPDP regulations; identity theft risks.</w:t>
            </w:r>
          </w:p>
        </w:tc>
      </w:tr>
      <w:tr>
        <w:tc>
          <w:tcPr>
            <w:tcW w:type="dxa" w:w="2592"/>
            <w:shd w:fill="FFFFFF"/>
            <w:tcMar>
              <w:top w:w="80" w:type="dxa"/>
              <w:bottom w:w="80" w:type="dxa"/>
              <w:left w:w="100" w:type="dxa"/>
              <w:right w:w="100" w:type="dxa"/>
            </w:tcMar>
          </w:tcPr>
          <w:p>
            <w:pPr>
              <w:spacing w:after="0"/>
            </w:pPr>
            <w:r>
              <w:rPr>
                <w:sz w:val="19"/>
              </w:rPr>
              <w:t>Confidential Business Documents</w:t>
            </w:r>
          </w:p>
        </w:tc>
        <w:tc>
          <w:tcPr>
            <w:tcW w:type="dxa" w:w="4608"/>
            <w:shd w:fill="FFFFFF"/>
            <w:tcMar>
              <w:top w:w="80" w:type="dxa"/>
              <w:bottom w:w="80" w:type="dxa"/>
              <w:left w:w="100" w:type="dxa"/>
              <w:right w:w="100" w:type="dxa"/>
            </w:tcMar>
          </w:tcPr>
          <w:p>
            <w:pPr>
              <w:spacing w:after="0"/>
            </w:pPr>
            <w:r>
              <w:rPr>
                <w:sz w:val="19"/>
              </w:rPr>
              <w:t>Exposure of internal financial projections, legal contracts, or pitch decks.</w:t>
            </w:r>
          </w:p>
        </w:tc>
        <w:tc>
          <w:tcPr>
            <w:tcW w:type="dxa" w:w="2160"/>
            <w:shd w:fill="FFFFFF"/>
            <w:tcMar>
              <w:top w:w="80" w:type="dxa"/>
              <w:bottom w:w="80" w:type="dxa"/>
              <w:left w:w="100" w:type="dxa"/>
              <w:right w:w="100" w:type="dxa"/>
            </w:tcMar>
          </w:tcPr>
          <w:p>
            <w:pPr>
              <w:spacing w:after="0"/>
            </w:pPr>
            <w:r>
              <w:rPr>
                <w:sz w:val="19"/>
              </w:rPr>
              <w:t>High — Loss of competitive advantage; breach of NDAs.</w:t>
            </w:r>
          </w:p>
        </w:tc>
      </w:tr>
      <w:tr>
        <w:tc>
          <w:tcPr>
            <w:tcW w:type="dxa" w:w="2592"/>
            <w:shd w:fill="F4F6F8"/>
            <w:tcMar>
              <w:top w:w="80" w:type="dxa"/>
              <w:bottom w:w="80" w:type="dxa"/>
              <w:left w:w="100" w:type="dxa"/>
              <w:right w:w="100" w:type="dxa"/>
            </w:tcMar>
          </w:tcPr>
          <w:p>
            <w:pPr>
              <w:spacing w:after="0"/>
            </w:pPr>
            <w:r>
              <w:rPr>
                <w:sz w:val="19"/>
              </w:rPr>
              <w:t>Source Code</w:t>
            </w:r>
          </w:p>
        </w:tc>
        <w:tc>
          <w:tcPr>
            <w:tcW w:type="dxa" w:w="4608"/>
            <w:shd w:fill="F4F6F8"/>
            <w:tcMar>
              <w:top w:w="80" w:type="dxa"/>
              <w:bottom w:w="80" w:type="dxa"/>
              <w:left w:w="100" w:type="dxa"/>
              <w:right w:w="100" w:type="dxa"/>
            </w:tcMar>
          </w:tcPr>
          <w:p>
            <w:pPr>
              <w:spacing w:after="0"/>
            </w:pPr>
            <w:r>
              <w:rPr>
                <w:sz w:val="19"/>
              </w:rPr>
              <w:t>Inadvertent disclosure of proprietary algorithms or application architecture.</w:t>
            </w:r>
          </w:p>
        </w:tc>
        <w:tc>
          <w:tcPr>
            <w:tcW w:type="dxa" w:w="2160"/>
            <w:shd w:fill="F4F6F8"/>
            <w:tcMar>
              <w:top w:w="80" w:type="dxa"/>
              <w:bottom w:w="80" w:type="dxa"/>
              <w:left w:w="100" w:type="dxa"/>
              <w:right w:w="100" w:type="dxa"/>
            </w:tcMar>
          </w:tcPr>
          <w:p>
            <w:pPr>
              <w:spacing w:after="0"/>
            </w:pPr>
            <w:r>
              <w:rPr>
                <w:sz w:val="19"/>
              </w:rPr>
              <w:t>High — Intellectual property loss; exposure of structural flaws.</w:t>
            </w:r>
          </w:p>
        </w:tc>
      </w:tr>
      <w:tr>
        <w:tc>
          <w:tcPr>
            <w:tcW w:type="dxa" w:w="2592"/>
            <w:shd w:fill="FFFFFF"/>
            <w:tcMar>
              <w:top w:w="80" w:type="dxa"/>
              <w:bottom w:w="80" w:type="dxa"/>
              <w:left w:w="100" w:type="dxa"/>
              <w:right w:w="100" w:type="dxa"/>
            </w:tcMar>
          </w:tcPr>
          <w:p>
            <w:pPr>
              <w:spacing w:after="0"/>
            </w:pPr>
            <w:r>
              <w:rPr>
                <w:sz w:val="19"/>
              </w:rPr>
              <w:t>API Keys &amp; Credentials</w:t>
            </w:r>
          </w:p>
        </w:tc>
        <w:tc>
          <w:tcPr>
            <w:tcW w:type="dxa" w:w="4608"/>
            <w:shd w:fill="FFFFFF"/>
            <w:tcMar>
              <w:top w:w="80" w:type="dxa"/>
              <w:bottom w:w="80" w:type="dxa"/>
              <w:left w:w="100" w:type="dxa"/>
              <w:right w:w="100" w:type="dxa"/>
            </w:tcMar>
          </w:tcPr>
          <w:p>
            <w:pPr>
              <w:spacing w:after="0"/>
            </w:pPr>
            <w:r>
              <w:rPr>
                <w:sz w:val="19"/>
              </w:rPr>
              <w:t>Prompting with embedded secrets, connection strings, or hardcoded API keys.</w:t>
            </w:r>
          </w:p>
        </w:tc>
        <w:tc>
          <w:tcPr>
            <w:tcW w:type="dxa" w:w="2160"/>
            <w:shd w:fill="FFFFFF"/>
            <w:tcMar>
              <w:top w:w="80" w:type="dxa"/>
              <w:bottom w:w="80" w:type="dxa"/>
              <w:left w:w="100" w:type="dxa"/>
              <w:right w:w="100" w:type="dxa"/>
            </w:tcMar>
          </w:tcPr>
          <w:p>
            <w:pPr>
              <w:spacing w:after="0"/>
            </w:pPr>
            <w:r>
              <w:rPr>
                <w:sz w:val="19"/>
              </w:rPr>
              <w:t>Critical — Immediate compromise of cloud databases &amp; infrastructure.</w:t>
            </w:r>
          </w:p>
        </w:tc>
      </w:tr>
      <w:tr>
        <w:tc>
          <w:tcPr>
            <w:tcW w:type="dxa" w:w="2592"/>
            <w:shd w:fill="F4F6F8"/>
            <w:tcMar>
              <w:top w:w="80" w:type="dxa"/>
              <w:bottom w:w="80" w:type="dxa"/>
              <w:left w:w="100" w:type="dxa"/>
              <w:right w:w="100" w:type="dxa"/>
            </w:tcMar>
          </w:tcPr>
          <w:p>
            <w:pPr>
              <w:spacing w:after="0"/>
            </w:pPr>
            <w:r>
              <w:rPr>
                <w:sz w:val="19"/>
              </w:rPr>
              <w:t>Passwords &amp; Session Tokens</w:t>
            </w:r>
          </w:p>
        </w:tc>
        <w:tc>
          <w:tcPr>
            <w:tcW w:type="dxa" w:w="4608"/>
            <w:shd w:fill="F4F6F8"/>
            <w:tcMar>
              <w:top w:w="80" w:type="dxa"/>
              <w:bottom w:w="80" w:type="dxa"/>
              <w:left w:w="100" w:type="dxa"/>
              <w:right w:w="100" w:type="dxa"/>
            </w:tcMar>
          </w:tcPr>
          <w:p>
            <w:pPr>
              <w:spacing w:after="0"/>
            </w:pPr>
            <w:r>
              <w:rPr>
                <w:sz w:val="19"/>
              </w:rPr>
              <w:t>Session token leakage via plain-text prompt logs.</w:t>
            </w:r>
          </w:p>
        </w:tc>
        <w:tc>
          <w:tcPr>
            <w:tcW w:type="dxa" w:w="2160"/>
            <w:shd w:fill="F4F6F8"/>
            <w:tcMar>
              <w:top w:w="80" w:type="dxa"/>
              <w:bottom w:w="80" w:type="dxa"/>
              <w:left w:w="100" w:type="dxa"/>
              <w:right w:w="100" w:type="dxa"/>
            </w:tcMar>
          </w:tcPr>
          <w:p>
            <w:pPr>
              <w:spacing w:after="0"/>
            </w:pPr>
            <w:r>
              <w:rPr>
                <w:sz w:val="19"/>
              </w:rPr>
              <w:t>Critical — Complete takeover of associated administrative/user accounts.</w:t>
            </w:r>
          </w:p>
        </w:tc>
      </w:tr>
      <w:tr>
        <w:tc>
          <w:tcPr>
            <w:tcW w:type="dxa" w:w="2592"/>
            <w:shd w:fill="FFFFFF"/>
            <w:tcMar>
              <w:top w:w="80" w:type="dxa"/>
              <w:bottom w:w="80" w:type="dxa"/>
              <w:left w:w="100" w:type="dxa"/>
              <w:right w:w="100" w:type="dxa"/>
            </w:tcMar>
          </w:tcPr>
          <w:p>
            <w:pPr>
              <w:spacing w:after="0"/>
            </w:pPr>
            <w:r>
              <w:rPr>
                <w:sz w:val="19"/>
              </w:rPr>
              <w:t>Customer &amp; Student Information</w:t>
            </w:r>
          </w:p>
        </w:tc>
        <w:tc>
          <w:tcPr>
            <w:tcW w:type="dxa" w:w="4608"/>
            <w:shd w:fill="FFFFFF"/>
            <w:tcMar>
              <w:top w:w="80" w:type="dxa"/>
              <w:bottom w:w="80" w:type="dxa"/>
              <w:left w:w="100" w:type="dxa"/>
              <w:right w:w="100" w:type="dxa"/>
            </w:tcMar>
          </w:tcPr>
          <w:p>
            <w:pPr>
              <w:spacing w:after="0"/>
            </w:pPr>
            <w:r>
              <w:rPr>
                <w:sz w:val="19"/>
              </w:rPr>
              <w:t>Inputting user feedback, grades, or personal support tickets.</w:t>
            </w:r>
          </w:p>
        </w:tc>
        <w:tc>
          <w:tcPr>
            <w:tcW w:type="dxa" w:w="2160"/>
            <w:shd w:fill="FFFFFF"/>
            <w:tcMar>
              <w:top w:w="80" w:type="dxa"/>
              <w:bottom w:w="80" w:type="dxa"/>
              <w:left w:w="100" w:type="dxa"/>
              <w:right w:w="100" w:type="dxa"/>
            </w:tcMar>
          </w:tcPr>
          <w:p>
            <w:pPr>
              <w:spacing w:after="0"/>
            </w:pPr>
            <w:r>
              <w:rPr>
                <w:sz w:val="19"/>
              </w:rPr>
              <w:t>High — Institutional liability; breach of student/customer trust.</w:t>
            </w:r>
          </w:p>
        </w:tc>
      </w:tr>
    </w:tbl>
    <w:p>
      <w:pPr>
        <w:spacing w:after="240"/>
      </w:pPr>
    </w:p>
    <w:p>
      <w:pPr>
        <w:keepNext/>
        <w:spacing w:before="360" w:after="120"/>
      </w:pPr>
      <w:r>
        <w:rPr>
          <w:b/>
          <w:color w:val="1B365D"/>
          <w:sz w:val="36"/>
        </w:rPr>
        <w:t>3. Account Tiers: Consumer vs. Managed Enterprise Accounts</w:t>
      </w:r>
    </w:p>
    <w:p>
      <w:r>
        <w:t>The fundamental boundary for data protection in GenAI depends on whether a team uses Consumer (Free/Plus) or Managed Enterprise/Education accounts.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20" w:type="dxa"/>
              <w:right w:w="120" w:type="dxa"/>
            </w:tcMar>
          </w:tcPr>
          <w:p>
            <w:r>
              <w:rPr>
                <w:b/>
                <w:color w:val="FFFFFF"/>
                <w:sz w:val="20"/>
              </w:rPr>
              <w:t>Feature / Dimension</w:t>
            </w:r>
          </w:p>
        </w:tc>
        <w:tc>
          <w:tcPr>
            <w:tcW w:type="dxa" w:w="3600"/>
            <w:shd w:fill="1B365D"/>
            <w:tcMar>
              <w:top w:w="120" w:type="dxa"/>
              <w:bottom w:w="120" w:type="dxa"/>
              <w:left w:w="120" w:type="dxa"/>
              <w:right w:w="120" w:type="dxa"/>
            </w:tcMar>
          </w:tcPr>
          <w:p>
            <w:r>
              <w:rPr>
                <w:b/>
                <w:color w:val="FFFFFF"/>
                <w:sz w:val="20"/>
              </w:rPr>
              <w:t>Consumer Tiers (Free / Plus)</w:t>
            </w:r>
          </w:p>
        </w:tc>
        <w:tc>
          <w:tcPr>
            <w:tcW w:type="dxa" w:w="3600"/>
            <w:shd w:fill="1B365D"/>
            <w:tcMar>
              <w:top w:w="120" w:type="dxa"/>
              <w:bottom w:w="120" w:type="dxa"/>
              <w:left w:w="120" w:type="dxa"/>
              <w:right w:w="120" w:type="dxa"/>
            </w:tcMar>
          </w:tcPr>
          <w:p>
            <w:r>
              <w:rPr>
                <w:b/>
                <w:color w:val="FFFFFF"/>
                <w:sz w:val="20"/>
              </w:rPr>
              <w:t>Managed Enterprise / Edu Tiers</w:t>
            </w:r>
          </w:p>
        </w:tc>
      </w:tr>
      <w:tr>
        <w:tc>
          <w:tcPr>
            <w:tcW w:type="dxa" w:w="2160"/>
            <w:shd w:fill="F4F6F8"/>
            <w:tcMar>
              <w:top w:w="80" w:type="dxa"/>
              <w:bottom w:w="80" w:type="dxa"/>
              <w:left w:w="100" w:type="dxa"/>
              <w:right w:w="100" w:type="dxa"/>
            </w:tcMar>
          </w:tcPr>
          <w:p>
            <w:pPr>
              <w:spacing w:after="0"/>
            </w:pPr>
            <w:r>
              <w:rPr>
                <w:sz w:val="19"/>
              </w:rPr>
              <w:t>Model Retraining</w:t>
            </w:r>
          </w:p>
        </w:tc>
        <w:tc>
          <w:tcPr>
            <w:tcW w:type="dxa" w:w="3600"/>
            <w:shd w:fill="F4F6F8"/>
            <w:tcMar>
              <w:top w:w="80" w:type="dxa"/>
              <w:bottom w:w="80" w:type="dxa"/>
              <w:left w:w="100" w:type="dxa"/>
              <w:right w:w="100" w:type="dxa"/>
            </w:tcMar>
          </w:tcPr>
          <w:p>
            <w:pPr>
              <w:spacing w:after="0"/>
            </w:pPr>
            <w:r>
              <w:rPr>
                <w:sz w:val="19"/>
              </w:rPr>
              <w:t>OPT-IN / ENABLED BY DEFAULT</w:t>
              <w:br/>
              <w:t>Inputs and outputs used for model training.</w:t>
            </w:r>
          </w:p>
        </w:tc>
        <w:tc>
          <w:tcPr>
            <w:tcW w:type="dxa" w:w="3600"/>
            <w:shd w:fill="F4F6F8"/>
            <w:tcMar>
              <w:top w:w="80" w:type="dxa"/>
              <w:bottom w:w="80" w:type="dxa"/>
              <w:left w:w="100" w:type="dxa"/>
              <w:right w:w="100" w:type="dxa"/>
            </w:tcMar>
          </w:tcPr>
          <w:p>
            <w:pPr>
              <w:spacing w:after="0"/>
            </w:pPr>
            <w:r>
              <w:rPr>
                <w:sz w:val="19"/>
              </w:rPr>
              <w:t>STRICTLY DISABLED</w:t>
              <w:br/>
              <w:t>Data excluded from foundation model training.</w:t>
            </w:r>
          </w:p>
        </w:tc>
      </w:tr>
      <w:tr>
        <w:tc>
          <w:tcPr>
            <w:tcW w:type="dxa" w:w="2160"/>
            <w:shd w:fill="FFFFFF"/>
            <w:tcMar>
              <w:top w:w="80" w:type="dxa"/>
              <w:bottom w:w="80" w:type="dxa"/>
              <w:left w:w="100" w:type="dxa"/>
              <w:right w:w="100" w:type="dxa"/>
            </w:tcMar>
          </w:tcPr>
          <w:p>
            <w:pPr>
              <w:spacing w:after="0"/>
            </w:pPr>
            <w:r>
              <w:rPr>
                <w:sz w:val="19"/>
              </w:rPr>
              <w:t>Human Review &amp; Security</w:t>
            </w:r>
          </w:p>
        </w:tc>
        <w:tc>
          <w:tcPr>
            <w:tcW w:type="dxa" w:w="3600"/>
            <w:shd w:fill="FFFFFF"/>
            <w:tcMar>
              <w:top w:w="80" w:type="dxa"/>
              <w:bottom w:w="80" w:type="dxa"/>
              <w:left w:w="100" w:type="dxa"/>
              <w:right w:w="100" w:type="dxa"/>
            </w:tcMar>
          </w:tcPr>
          <w:p>
            <w:pPr>
              <w:spacing w:after="0"/>
            </w:pPr>
            <w:r>
              <w:rPr>
                <w:sz w:val="19"/>
              </w:rPr>
              <w:t>YES</w:t>
              <w:br/>
              <w:t>Random sampling for safety and quality evaluation.</w:t>
            </w:r>
          </w:p>
        </w:tc>
        <w:tc>
          <w:tcPr>
            <w:tcW w:type="dxa" w:w="3600"/>
            <w:shd w:fill="FFFFFF"/>
            <w:tcMar>
              <w:top w:w="80" w:type="dxa"/>
              <w:bottom w:w="80" w:type="dxa"/>
              <w:left w:w="100" w:type="dxa"/>
              <w:right w:w="100" w:type="dxa"/>
            </w:tcMar>
          </w:tcPr>
          <w:p>
            <w:pPr>
              <w:spacing w:after="0"/>
            </w:pPr>
            <w:r>
              <w:rPr>
                <w:sz w:val="19"/>
              </w:rPr>
              <w:t>NO HUMAN REVIEW</w:t>
              <w:br/>
              <w:t>Data encrypted (AES-256 / TLS 1.2+), SOC 2 compliance, SSO.</w:t>
            </w:r>
          </w:p>
        </w:tc>
      </w:tr>
    </w:tbl>
    <w:p>
      <w:pPr>
        <w:spacing w:after="240"/>
      </w:pPr>
    </w:p>
    <w:p>
      <w:pPr>
        <w:keepNext/>
        <w:spacing w:before="360" w:after="120"/>
      </w:pPr>
      <w:r>
        <w:rPr>
          <w:b/>
          <w:color w:val="1B365D"/>
          <w:sz w:val="36"/>
        </w:rPr>
        <w:t>4. Privacy Settings, Data Retention, and Human Review</w:t>
      </w:r>
    </w:p>
    <w:p>
      <w:pPr>
        <w:pStyle w:val="ListBullet"/>
        <w:spacing w:after="80"/>
      </w:pPr>
      <w:r>
        <w:rPr>
          <w:b/>
          <w:color w:val="1B365D"/>
        </w:rPr>
        <w:t xml:space="preserve">Model Improvement Controls: </w:t>
      </w:r>
      <w:r>
        <w:t>Consumer accounts feature settings (e.g., 'Data Controls' or 'Improve the model for everyone'). Disabling this setting stops future model retraining on your prompts.</w:t>
      </w:r>
    </w:p>
    <w:p>
      <w:pPr>
        <w:pStyle w:val="ListBullet"/>
        <w:spacing w:after="80"/>
      </w:pPr>
      <w:r>
        <w:rPr>
          <w:b/>
          <w:color w:val="1B365D"/>
        </w:rPr>
        <w:t xml:space="preserve">Data Retention Schedules: </w:t>
      </w:r>
      <w:r>
        <w:t>Turning off chat history in consumer accounts stops local session tracking, but providers still retain prompts for 30 days in secure backend logs for abuse monitoring before purging. Enterprise accounts allow custom retention schedules.</w:t>
      </w:r>
    </w:p>
    <w:p>
      <w:pPr>
        <w:pStyle w:val="ListBullet"/>
        <w:spacing w:after="80"/>
      </w:pPr>
      <w:r>
        <w:rPr>
          <w:b/>
          <w:color w:val="1B365D"/>
        </w:rPr>
        <w:t xml:space="preserve">Human Review Protocols: </w:t>
      </w:r>
      <w:r>
        <w:t>To monitor safety, AI vendors sample consumer logs for human annotators. In enterprise/education tiers, human access is disabled by default.</w:t>
      </w:r>
    </w:p>
    <w:p>
      <w:pPr>
        <w:pStyle w:val="ListBullet"/>
        <w:spacing w:after="80"/>
      </w:pPr>
      <w:r>
        <w:rPr>
          <w:b/>
          <w:color w:val="1B365D"/>
        </w:rPr>
        <w:t xml:space="preserve">Zero Data Retention (ZDR): </w:t>
      </w:r>
      <w:r>
        <w:t>Certain enterprise API endpoints offer Zero Data Retention options, where prompt payloads exist solely in RAM during execution and are deleted immediately after generating responses.</w:t>
      </w:r>
    </w:p>
    <w:p>
      <w:pPr>
        <w:keepNext/>
        <w:spacing w:before="360" w:after="120"/>
      </w:pPr>
      <w:r>
        <w:rPr>
          <w:b/>
          <w:color w:val="1B365D"/>
          <w:sz w:val="36"/>
        </w:rPr>
        <w:t>5. Practical Steps for Preventing Accidental Data Exposure</w:t>
      </w:r>
    </w:p>
    <w:p>
      <w:pPr>
        <w:pStyle w:val="ListBullet"/>
        <w:spacing w:after="80"/>
      </w:pPr>
      <w:r>
        <w:rPr>
          <w:b/>
          <w:color w:val="1B365D"/>
        </w:rPr>
        <w:t xml:space="preserve">Adopt 'Data Scrubbing' Workflows: </w:t>
      </w:r>
      <w:r>
        <w:t>Strip out real names, financial figures, server URLs, and specific code variables. Replace them with standardized placeholders (e.g., [USER_ID_1], [COMPANY_X]).</w:t>
      </w:r>
    </w:p>
    <w:p>
      <w:pPr>
        <w:pStyle w:val="ListBullet"/>
        <w:spacing w:after="80"/>
      </w:pPr>
      <w:r>
        <w:rPr>
          <w:b/>
          <w:color w:val="1B365D"/>
        </w:rPr>
        <w:t xml:space="preserve">Deploy Local Secret Scanners: </w:t>
      </w:r>
      <w:r>
        <w:t>Run automated pre-commit scanners (e.g., GitGuardian, TruffleHog) in local development environments to catch embedded passwords, private keys, or API tokens before pasting code.</w:t>
      </w:r>
    </w:p>
    <w:p>
      <w:pPr>
        <w:pStyle w:val="ListBullet"/>
        <w:spacing w:after="80"/>
      </w:pPr>
      <w:r>
        <w:rPr>
          <w:b/>
          <w:color w:val="1B365D"/>
        </w:rPr>
        <w:t xml:space="preserve">Opt Out of Model Training Immediately: </w:t>
      </w:r>
      <w:r>
        <w:t>Before using any consumer-tier AI account, navigate to Settings -&gt; Data Controls and explicitly disable model training/improvement.</w:t>
      </w:r>
    </w:p>
    <w:p>
      <w:pPr>
        <w:pStyle w:val="ListBullet"/>
        <w:spacing w:after="80"/>
      </w:pPr>
      <w:r>
        <w:rPr>
          <w:b/>
          <w:color w:val="1B365D"/>
        </w:rPr>
        <w:t xml:space="preserve">Use Privacy-Preserving Interfaces: </w:t>
      </w:r>
      <w:r>
        <w:t>Leverage API platforms with Zero Data Retention policies or run local open-weights models offline on local hardware (e.g., Ollama, Llama.cpp) for sensitive tasks.</w:t>
      </w:r>
    </w:p>
    <w:p>
      <w:pPr>
        <w:pStyle w:val="ListBullet"/>
        <w:spacing w:after="80"/>
      </w:pPr>
      <w:r>
        <w:rPr>
          <w:b/>
          <w:color w:val="1B365D"/>
        </w:rPr>
        <w:t xml:space="preserve">Enforce Role-Based Access Controls (RBAC) and MFA: </w:t>
      </w:r>
      <w:r>
        <w:t>Protect team accounts with Multi-Factor Authentication and avoid sharing single-user credentials.</w:t>
      </w:r>
    </w:p>
    <w:p>
      <w:pPr>
        <w:keepNext/>
        <w:spacing w:before="360" w:after="120"/>
      </w:pPr>
      <w:r>
        <w:rPr>
          <w:b/>
          <w:color w:val="1B365D"/>
          <w:sz w:val="36"/>
        </w:rPr>
        <w:t>6. Regulatory Frameworks &amp; Cybersecurity Guidance</w:t>
      </w:r>
    </w:p>
    <w:p>
      <w:pPr>
        <w:keepNext/>
        <w:spacing w:before="280" w:after="80"/>
      </w:pPr>
      <w:r>
        <w:rPr>
          <w:b/>
          <w:color w:val="4A777A"/>
          <w:sz w:val="28"/>
        </w:rPr>
        <w:t>NIST AI Risk Management Framework (AI RMF 1.0) &amp; GenAI Profile (NIST AI 600-1)</w:t>
      </w:r>
    </w:p>
    <w:p>
      <w:r>
        <w:t>The NIST Generative AI Profile outlines specific mitigation strategies across four core functions:</w:t>
      </w:r>
    </w:p>
    <w:p>
      <w:pPr>
        <w:pStyle w:val="ListBullet"/>
        <w:spacing w:after="60"/>
      </w:pPr>
      <w:r>
        <w:rPr>
          <w:b/>
        </w:rPr>
        <w:t xml:space="preserve">Govern: </w:t>
      </w:r>
      <w:r>
        <w:t>Establish organizational policies defining acceptable vs. forbidden AI uses and data rules.</w:t>
      </w:r>
    </w:p>
    <w:p>
      <w:pPr>
        <w:pStyle w:val="ListBullet"/>
        <w:spacing w:after="60"/>
      </w:pPr>
      <w:r>
        <w:rPr>
          <w:b/>
        </w:rPr>
        <w:t xml:space="preserve">Map: </w:t>
      </w:r>
      <w:r>
        <w:t>Identify where GenAI tools interact with confidential datasets or external APIs.</w:t>
      </w:r>
    </w:p>
    <w:p>
      <w:pPr>
        <w:pStyle w:val="ListBullet"/>
        <w:spacing w:after="60"/>
      </w:pPr>
      <w:r>
        <w:rPr>
          <w:b/>
        </w:rPr>
        <w:t xml:space="preserve">Measure: </w:t>
      </w:r>
      <w:r>
        <w:t>Evaluate tools for data leakage risks, prompt injection vulnerabilities, and training extraction.</w:t>
      </w:r>
    </w:p>
    <w:p>
      <w:pPr>
        <w:pStyle w:val="ListBullet"/>
        <w:spacing w:after="60"/>
      </w:pPr>
      <w:r>
        <w:rPr>
          <w:b/>
        </w:rPr>
        <w:t xml:space="preserve">Manage: </w:t>
      </w:r>
      <w:r>
        <w:t>Implement technical safety controls (e.g., egress filtering, DLP software, API monitoring).</w:t>
      </w:r>
    </w:p>
    <w:p>
      <w:pPr>
        <w:keepNext/>
        <w:spacing w:before="280" w:after="80"/>
      </w:pPr>
      <w:r>
        <w:rPr>
          <w:b/>
          <w:color w:val="4A777A"/>
          <w:sz w:val="28"/>
        </w:rPr>
        <w:t>CERT-In Cybersecurity Guidance</w:t>
      </w:r>
    </w:p>
    <w:p>
      <w:pPr>
        <w:pStyle w:val="ListBullet"/>
        <w:spacing w:after="60"/>
      </w:pPr>
      <w:r>
        <w:rPr>
          <w:b/>
        </w:rPr>
        <w:t xml:space="preserve">Advisories (CIAD-2025-0013 &amp; CIAD-2026-0020): </w:t>
      </w:r>
      <w:r>
        <w:t>Explicitly directs organizations and small teams to avoid inputting sensitive personal, financial, or corporate information into unverified AI apps.</w:t>
      </w:r>
    </w:p>
    <w:p>
      <w:pPr>
        <w:pStyle w:val="ListBullet"/>
        <w:spacing w:after="60"/>
      </w:pPr>
      <w:r>
        <w:rPr>
          <w:b/>
        </w:rPr>
        <w:t xml:space="preserve">Identity &amp; Access Controls: </w:t>
      </w:r>
      <w:r>
        <w:t>Recommends strict MFA enforcement, continuous log analysis, and verified enterprise instances.</w:t>
      </w:r>
    </w:p>
    <w:p>
      <w:pPr>
        <w:pStyle w:val="ListBullet"/>
        <w:spacing w:after="60"/>
      </w:pPr>
      <w:r>
        <w:rPr>
          <w:b/>
        </w:rPr>
        <w:t xml:space="preserve">Attack Surface Defense: </w:t>
      </w:r>
      <w:r>
        <w:t>Highlights that malicious actors use AI for rapid reconnaissance, requiring internal source code and infrastructure diagrams to remain strictly confidential.</w:t>
      </w:r>
    </w:p>
    <w:p>
      <w:pPr>
        <w:keepNext/>
        <w:spacing w:before="360" w:after="120"/>
      </w:pPr>
      <w:r>
        <w:rPr>
          <w:b/>
          <w:color w:val="1B365D"/>
          <w:sz w:val="36"/>
        </w:rPr>
        <w:t>7. Official Vendor Privacy Documentation: OpenAI &amp; Google Gemini</w:t>
      </w:r>
    </w:p>
    <w:p>
      <w:pPr>
        <w:keepNext/>
        <w:spacing w:before="280" w:after="80"/>
      </w:pPr>
      <w:r>
        <w:rPr>
          <w:b/>
          <w:color w:val="4A777A"/>
          <w:sz w:val="28"/>
        </w:rPr>
        <w:t>OpenAI (ChatGPT &amp; API)</w:t>
      </w:r>
    </w:p>
    <w:p>
      <w:r>
        <w:t>ChatGPT Free/Plus logs data for training by default (opt-out available). In contrast, ChatGPT Team, Enterprise, and API Platform explicitly state: 'We do not train on your business data'. Data is encrypted at rest (AES-256) and in transit (TLS 1.2+), retained for up to 30 days for abuse monitoring, with Zero Data Retention options available.</w:t>
      </w:r>
    </w:p>
    <w:p>
      <w:pPr>
        <w:keepNext/>
        <w:spacing w:before="280" w:after="80"/>
      </w:pPr>
      <w:r>
        <w:rPr>
          <w:b/>
          <w:color w:val="4A777A"/>
          <w:sz w:val="28"/>
        </w:rPr>
        <w:t>Google Gemini</w:t>
      </w:r>
    </w:p>
    <w:p>
      <w:r>
        <w:t>In the Gemini Consumer Tier, human reviewers may annotate prompts unless 'Gemini Apps Activity' is turned off. In Gemini Enterprise and Google Workspace for Education, customer data is never used to train Google's foundation models, and built-in Sensitive Data Protection inspects and masks confidential information.</w:t>
      </w:r>
    </w:p>
    <w:p>
      <w:pPr>
        <w:keepNext/>
        <w:spacing w:before="360" w:after="120"/>
      </w:pPr>
      <w:r>
        <w:rPr>
          <w:b/>
          <w:color w:val="1B365D"/>
          <w:sz w:val="36"/>
        </w:rPr>
        <w:t>8. Fictional Example: Acceptable-Use Policy for a Small Team</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pPr>
              <w:spacing w:after="80"/>
            </w:pPr>
            <w:r>
              <w:rPr>
                <w:b/>
                <w:color w:val="1B365D"/>
                <w:sz w:val="21"/>
              </w:rPr>
              <w:t>POLICY DOCUMENT: ALPHA PROJECT TEAM — AI TOOL USAGE POLICY</w:t>
            </w:r>
          </w:p>
          <w:p>
            <w:pPr>
              <w:spacing w:after="0"/>
            </w:pPr>
            <w:r>
              <w:rPr>
                <w:sz w:val="19"/>
              </w:rPr>
              <w:t>1. Approved Platforms: Team members may use consumer ChatGPT or Gemini accounts ONLY after disabling model-training options in settings menus. For code completion, approved enterprise plugins must be used.</w:t>
              <w:br/>
              <w:t>2. Strictly Prohibited Inputs: Real customer or employee PII; cloud access credentials, API secrets, passwords; unreleased business plans or proprietary source code.</w:t>
              <w:br/>
              <w:t>3. Mandatory Sanitization Standard: All code snippets or text sent to an AI assistant must be sanitized using dummy variables (e.g., const apiKey = process.env.API_KEY; instead of live keys).</w:t>
              <w:br/>
              <w:t>4. Verification Requirement: Every line of code or factual report statement generated by AI must be manually reviewed and tested prior to deployment or publication.</w:t>
            </w:r>
          </w:p>
        </w:tc>
      </w:tr>
    </w:tbl>
    <w:p>
      <w:pPr>
        <w:spacing w:after="240"/>
      </w:pPr>
    </w:p>
    <w:p>
      <w:pPr>
        <w:keepNext/>
        <w:spacing w:before="360" w:after="120"/>
      </w:pPr>
      <w:r>
        <w:rPr>
          <w:b/>
          <w:color w:val="1B365D"/>
          <w:sz w:val="36"/>
        </w:rPr>
        <w:t>9. Common Mistakes in AI-Generated Privacy Advice</w:t>
      </w:r>
    </w:p>
    <w:p>
      <w:pPr>
        <w:pStyle w:val="ListBullet"/>
        <w:spacing w:after="80"/>
      </w:pPr>
      <w:r>
        <w:rPr>
          <w:b/>
          <w:color w:val="1B365D"/>
        </w:rPr>
        <w:t xml:space="preserve">Conflating Session Privacy with Training Opt-Outs: </w:t>
      </w:r>
      <w:r>
        <w:t>AI tools often claim that clearing chat history stops model training. In reality, history retention and model training controls are separate settings.</w:t>
      </w:r>
    </w:p>
    <w:p>
      <w:pPr>
        <w:pStyle w:val="ListBullet"/>
        <w:spacing w:after="80"/>
      </w:pPr>
      <w:r>
        <w:rPr>
          <w:b/>
          <w:color w:val="1B365D"/>
        </w:rPr>
        <w:t xml:space="preserve">Assuming Identical Rules Across Account Tiers: </w:t>
      </w:r>
      <w:r>
        <w:t>AI tools frequently misstate that enterprise terms apply to free accounts.</w:t>
      </w:r>
    </w:p>
    <w:p>
      <w:pPr>
        <w:pStyle w:val="ListBullet"/>
        <w:spacing w:after="80"/>
      </w:pPr>
      <w:r>
        <w:rPr>
          <w:b/>
          <w:color w:val="1B365D"/>
        </w:rPr>
        <w:t xml:space="preserve">Overestimating Automated Anonymization: </w:t>
      </w:r>
      <w:r>
        <w:t>AI assistants claim that telling the model to 'keep this private' in a prompt prevents storage, ignoring backend logging infrastructure.</w:t>
      </w:r>
    </w:p>
    <w:p>
      <w:pPr>
        <w:pStyle w:val="ListBullet"/>
        <w:spacing w:after="80"/>
      </w:pPr>
      <w:r>
        <w:rPr>
          <w:b/>
          <w:color w:val="1B365D"/>
        </w:rPr>
        <w:t xml:space="preserve">Outdated Policy Information: </w:t>
      </w:r>
      <w:r>
        <w:t>AI models quote obsolete policies or incorrect retention windows (e.g., claiming instant deletion despite 30-day monitoring logs).</w:t>
      </w:r>
    </w:p>
    <w:p>
      <w:pPr>
        <w:keepNext/>
        <w:spacing w:before="360" w:after="120"/>
      </w:pPr>
      <w:r>
        <w:rPr>
          <w:b/>
          <w:color w:val="1B365D"/>
          <w:sz w:val="36"/>
        </w:rPr>
        <w:t>10. Methods for Verifying AI-Generated Privacy Claims</w:t>
      </w:r>
    </w:p>
    <w:p>
      <w:r>
        <w:t>When validating privacy claims, follow this 4-step verification protocol:</w:t>
      </w:r>
    </w:p>
    <w:p>
      <w:pPr>
        <w:pStyle w:val="ListBullet"/>
        <w:spacing w:after="60"/>
      </w:pPr>
      <w:r>
        <w:t>Step 1: Locate Official Privacy Policy / Trust Center directly on vendor domains.</w:t>
      </w:r>
    </w:p>
    <w:p>
      <w:pPr>
        <w:pStyle w:val="ListBullet"/>
        <w:spacing w:after="60"/>
      </w:pPr>
      <w:r>
        <w:t>Step 2: Check Effective Date &amp; Last Updated Timestamp to ensure policy currency.</w:t>
      </w:r>
    </w:p>
    <w:p>
      <w:pPr>
        <w:pStyle w:val="ListBullet"/>
        <w:spacing w:after="60"/>
      </w:pPr>
      <w:r>
        <w:t>Step 3: Distinguish Target Product Tier (Consumer vs. Enterprise / API).</w:t>
      </w:r>
    </w:p>
    <w:p>
      <w:pPr>
        <w:pStyle w:val="ListBullet"/>
        <w:spacing w:after="60"/>
      </w:pPr>
      <w:r>
        <w:t>Step 4: Cross-Reference Terms of Service (ToS) Clauses directly.</w:t>
      </w:r>
    </w:p>
    <w:p>
      <w:pPr>
        <w:keepNext/>
        <w:spacing w:before="360" w:after="120"/>
      </w:pPr>
      <w:r>
        <w:rPr>
          <w:b/>
          <w:color w:val="1B365D"/>
          <w:sz w:val="36"/>
        </w:rPr>
        <w:t>11. Limitations of Anonymization and Automated DLP</w:t>
      </w:r>
    </w:p>
    <w:p>
      <w:pPr>
        <w:pStyle w:val="ListBullet"/>
        <w:spacing w:after="80"/>
      </w:pPr>
      <w:r>
        <w:rPr>
          <w:b/>
          <w:color w:val="1B365D"/>
        </w:rPr>
        <w:t xml:space="preserve">Contextual Re-Identification Risks: </w:t>
      </w:r>
      <w:r>
        <w:t>Stripping explicit names leaves behind structural and contextual details that allow re-identification.</w:t>
      </w:r>
    </w:p>
    <w:p>
      <w:pPr>
        <w:pStyle w:val="ListBullet"/>
        <w:spacing w:after="80"/>
      </w:pPr>
      <w:r>
        <w:rPr>
          <w:b/>
          <w:color w:val="1B365D"/>
        </w:rPr>
        <w:t xml:space="preserve">Complex Data Structure Blindspots: </w:t>
      </w:r>
      <w:r>
        <w:t>DLP tools frequently fail on base64-encoded strings, custom JSON payloads, or obfuscated code.</w:t>
      </w:r>
    </w:p>
    <w:p>
      <w:pPr>
        <w:pStyle w:val="ListBullet"/>
        <w:spacing w:after="80"/>
      </w:pPr>
      <w:r>
        <w:rPr>
          <w:b/>
          <w:color w:val="1B365D"/>
        </w:rPr>
        <w:t xml:space="preserve">Prompt Injection Bypasses: </w:t>
      </w:r>
      <w:r>
        <w:t>Adversarial prompts can trick client-side DLP filters into permitting sensitive data transfer.</w:t>
      </w:r>
    </w:p>
    <w:p>
      <w:pPr>
        <w:keepNext/>
        <w:spacing w:before="360" w:after="120"/>
      </w:pPr>
      <w:r>
        <w:rPr>
          <w:b/>
          <w:color w:val="1B365D"/>
          <w:sz w:val="36"/>
        </w:rPr>
        <w:t>12. Ethical Considerations When Using AI for Research</w:t>
      </w:r>
    </w:p>
    <w:p>
      <w:pPr>
        <w:pStyle w:val="ListBullet"/>
        <w:spacing w:after="80"/>
      </w:pPr>
      <w:r>
        <w:rPr>
          <w:b/>
          <w:color w:val="1B365D"/>
        </w:rPr>
        <w:t xml:space="preserve">Transparency &amp; Disclosure: </w:t>
      </w:r>
      <w:r>
        <w:t>Explicitly disclose AI assistance in methodologies and citations.</w:t>
      </w:r>
    </w:p>
    <w:p>
      <w:pPr>
        <w:pStyle w:val="ListBullet"/>
        <w:spacing w:after="80"/>
      </w:pPr>
      <w:r>
        <w:rPr>
          <w:b/>
          <w:color w:val="1B365D"/>
        </w:rPr>
        <w:t xml:space="preserve">Participant Privacy &amp; Consent: </w:t>
      </w:r>
      <w:r>
        <w:t>Uploading primary interview transcripts or survey responses without participant consent violates ethical research standards.</w:t>
      </w:r>
    </w:p>
    <w:p>
      <w:pPr>
        <w:pStyle w:val="ListBullet"/>
        <w:spacing w:after="80"/>
      </w:pPr>
      <w:r>
        <w:rPr>
          <w:b/>
          <w:color w:val="1B365D"/>
        </w:rPr>
        <w:t xml:space="preserve">Academic Integrity: </w:t>
      </w:r>
      <w:r>
        <w:t>Presenting raw AI output as original analysis breaches institutional honesty codes.</w:t>
      </w:r>
    </w:p>
    <w:p>
      <w:pPr>
        <w:keepNext/>
        <w:spacing w:before="360" w:after="120"/>
      </w:pPr>
      <w:r>
        <w:rPr>
          <w:b/>
          <w:color w:val="1B365D"/>
          <w:sz w:val="36"/>
        </w:rPr>
        <w:t>End-of-Report Deliverables</w:t>
      </w:r>
    </w:p>
    <w:p>
      <w:pPr>
        <w:keepNext/>
        <w:spacing w:before="280" w:after="80"/>
      </w:pPr>
      <w:r>
        <w:rPr>
          <w:b/>
          <w:color w:val="4A777A"/>
          <w:sz w:val="28"/>
        </w:rPr>
        <w:t>A. Ten Key Findings</w:t>
      </w:r>
    </w:p>
    <w:p>
      <w:pPr>
        <w:spacing w:after="60"/>
      </w:pPr>
      <w:r>
        <w:rPr>
          <w:b/>
        </w:rPr>
        <w:t xml:space="preserve">1. </w:t>
      </w:r>
      <w:r>
        <w:t>Consumer AI tiers use prompt inputs for foundation model training by default.</w:t>
      </w:r>
    </w:p>
    <w:p>
      <w:pPr>
        <w:spacing w:after="60"/>
      </w:pPr>
      <w:r>
        <w:rPr>
          <w:b/>
        </w:rPr>
        <w:t xml:space="preserve">2. </w:t>
      </w:r>
      <w:r>
        <w:t>Enterprise, Team, and Education accounts strictly prohibit model retraining on customer data.</w:t>
      </w:r>
    </w:p>
    <w:p>
      <w:pPr>
        <w:spacing w:after="60"/>
      </w:pPr>
      <w:r>
        <w:rPr>
          <w:b/>
        </w:rPr>
        <w:t xml:space="preserve">3. </w:t>
      </w:r>
      <w:r>
        <w:t>Disabling chat history does not always prevent temporary (e.g., 30-day) backend retention for abuse monitoring.</w:t>
      </w:r>
    </w:p>
    <w:p>
      <w:pPr>
        <w:spacing w:after="60"/>
      </w:pPr>
      <w:r>
        <w:rPr>
          <w:b/>
        </w:rPr>
        <w:t xml:space="preserve">4. </w:t>
      </w:r>
      <w:r>
        <w:t>API keys, passwords, and source code pasted into GenAI tools can lead to critical infrastructure breaches.</w:t>
      </w:r>
    </w:p>
    <w:p>
      <w:pPr>
        <w:spacing w:after="60"/>
      </w:pPr>
      <w:r>
        <w:rPr>
          <w:b/>
        </w:rPr>
        <w:t xml:space="preserve">5. </w:t>
      </w:r>
      <w:r>
        <w:t>Human reviewers inspect sampled consumer logs, creating third-party exposure risks.</w:t>
      </w:r>
    </w:p>
    <w:p>
      <w:pPr>
        <w:spacing w:after="60"/>
      </w:pPr>
      <w:r>
        <w:rPr>
          <w:b/>
        </w:rPr>
        <w:t xml:space="preserve">6. </w:t>
      </w:r>
      <w:r>
        <w:t>The NIST AI RMF Generative AI Profile (NIST AI 600-1) provides a structured framework (Govern, Map, Measure, Manage) to mitigate AI risks.</w:t>
      </w:r>
    </w:p>
    <w:p>
      <w:pPr>
        <w:spacing w:after="60"/>
      </w:pPr>
      <w:r>
        <w:rPr>
          <w:b/>
        </w:rPr>
        <w:t xml:space="preserve">7. </w:t>
      </w:r>
      <w:r>
        <w:t>CERT-In advisories recommend avoiding unverified AI applications and using anonymized accounts for non-enterprise tasks.</w:t>
      </w:r>
    </w:p>
    <w:p>
      <w:pPr>
        <w:spacing w:after="60"/>
      </w:pPr>
      <w:r>
        <w:rPr>
          <w:b/>
        </w:rPr>
        <w:t xml:space="preserve">8. </w:t>
      </w:r>
      <w:r>
        <w:t>Prompting an AI tool to 'keep this private' has no technical effect on backend data logging.</w:t>
      </w:r>
    </w:p>
    <w:p>
      <w:pPr>
        <w:spacing w:after="60"/>
      </w:pPr>
      <w:r>
        <w:rPr>
          <w:b/>
        </w:rPr>
        <w:t xml:space="preserve">9. </w:t>
      </w:r>
      <w:r>
        <w:t>Automated DLP tools can miss obfuscated secrets or context-rich personal information.</w:t>
      </w:r>
    </w:p>
    <w:p>
      <w:pPr>
        <w:spacing w:after="60"/>
      </w:pPr>
      <w:r>
        <w:rPr>
          <w:b/>
        </w:rPr>
        <w:t xml:space="preserve">10. </w:t>
      </w:r>
      <w:r>
        <w:t>Academic ethics require explicit disclosure when AI is used to process research data.</w:t>
      </w:r>
    </w:p>
    <w:p>
      <w:pPr>
        <w:keepNext/>
        <w:spacing w:before="280" w:after="80"/>
      </w:pPr>
      <w:r>
        <w:rPr>
          <w:b/>
          <w:color w:val="4A777A"/>
          <w:sz w:val="28"/>
        </w:rPr>
        <w:t>B. List of Reliable Primary Sources to Verify</w:t>
      </w:r>
    </w:p>
    <w:p>
      <w:pPr>
        <w:pStyle w:val="ListBullet"/>
        <w:spacing w:after="60"/>
      </w:pPr>
      <w:r>
        <w:rPr>
          <w:b/>
        </w:rPr>
        <w:t xml:space="preserve">NIST AI Risk Management Framework &amp; GenAI Profile: </w:t>
      </w:r>
      <w:r>
        <w:t>https://www.nist.gov/publications/artificial-intelligence-risk-management-framework-generative-artificial-intelligence</w:t>
      </w:r>
    </w:p>
    <w:p>
      <w:pPr>
        <w:pStyle w:val="ListBullet"/>
        <w:spacing w:after="60"/>
      </w:pPr>
      <w:r>
        <w:rPr>
          <w:b/>
        </w:rPr>
        <w:t xml:space="preserve">CERT-In Cybersecurity Guidance &amp; Advisories: </w:t>
      </w:r>
      <w:r>
        <w:t>https://www.cert-in.org.in/</w:t>
      </w:r>
    </w:p>
    <w:p>
      <w:pPr>
        <w:pStyle w:val="ListBullet"/>
        <w:spacing w:after="60"/>
      </w:pPr>
      <w:r>
        <w:rPr>
          <w:b/>
        </w:rPr>
        <w:t xml:space="preserve">OpenAI Enterprise Privacy &amp; Data Terms: </w:t>
      </w:r>
      <w:r>
        <w:t>https://openai.com/enterprise-privacy</w:t>
      </w:r>
    </w:p>
    <w:p>
      <w:pPr>
        <w:pStyle w:val="ListBullet"/>
        <w:spacing w:after="60"/>
      </w:pPr>
      <w:r>
        <w:rPr>
          <w:b/>
        </w:rPr>
        <w:t xml:space="preserve">Google Cloud Gemini Enterprise Privacy Controls: </w:t>
      </w:r>
      <w:r>
        <w:t>https://docs.cloud.google.com/gemini/enterprise/docs/protect-sensitive-data</w:t>
      </w:r>
    </w:p>
    <w:p>
      <w:pPr>
        <w:keepNext/>
        <w:spacing w:before="280" w:after="80"/>
      </w:pPr>
      <w:r>
        <w:rPr>
          <w:b/>
          <w:color w:val="4A777A"/>
          <w:sz w:val="28"/>
        </w:rPr>
        <w:t>C. Five Risks Students Commonly Overlook</w:t>
      </w:r>
    </w:p>
    <w:p>
      <w:pPr>
        <w:spacing w:after="60"/>
      </w:pPr>
      <w:r>
        <w:rPr>
          <w:b/>
        </w:rPr>
        <w:t xml:space="preserve">1. </w:t>
      </w:r>
      <w:r>
        <w:t>Assuming 'Clear Chat' erases data instantly, ignoring 30-day compliance logs.</w:t>
      </w:r>
    </w:p>
    <w:p>
      <w:pPr>
        <w:spacing w:after="60"/>
      </w:pPr>
      <w:r>
        <w:rPr>
          <w:b/>
        </w:rPr>
        <w:t xml:space="preserve">2. </w:t>
      </w:r>
      <w:r>
        <w:t>Accidentally committing secrets in code snippets pasted for refactoring.</w:t>
      </w:r>
    </w:p>
    <w:p>
      <w:pPr>
        <w:spacing w:after="60"/>
      </w:pPr>
      <w:r>
        <w:rPr>
          <w:b/>
        </w:rPr>
        <w:t xml:space="preserve">3. </w:t>
      </w:r>
      <w:r>
        <w:t>Trusting contextual anonymization, ignoring unique identifying details.</w:t>
      </w:r>
    </w:p>
    <w:p>
      <w:pPr>
        <w:spacing w:after="60"/>
      </w:pPr>
      <w:r>
        <w:rPr>
          <w:b/>
        </w:rPr>
        <w:t xml:space="preserve">4. </w:t>
      </w:r>
      <w:r>
        <w:t>Generating public links to sensitive chats, making transcripts indexed and searchable.</w:t>
      </w:r>
    </w:p>
    <w:p>
      <w:pPr>
        <w:spacing w:after="60"/>
      </w:pPr>
      <w:r>
        <w:rPr>
          <w:b/>
        </w:rPr>
        <w:t xml:space="preserve">5. </w:t>
      </w:r>
      <w:r>
        <w:t>Relying on AI for direct citation verification without visiting source links.</w:t>
      </w:r>
    </w:p>
    <w:p>
      <w:pPr>
        <w:keepNext/>
        <w:spacing w:before="280" w:after="80"/>
      </w:pPr>
      <w:r>
        <w:rPr>
          <w:b/>
          <w:color w:val="4A777A"/>
          <w:sz w:val="28"/>
        </w:rPr>
        <w:t>D. Recommendations for a Small Team</w:t>
      </w:r>
    </w:p>
    <w:p>
      <w:pPr>
        <w:spacing w:after="60"/>
      </w:pPr>
      <w:r>
        <w:rPr>
          <w:b/>
        </w:rPr>
        <w:t xml:space="preserve">1. </w:t>
      </w:r>
      <w:r>
        <w:t>Enforce Baseline Data Scrubbing: Never input raw credentials, personal identities, or proprietary secrets.</w:t>
      </w:r>
    </w:p>
    <w:p>
      <w:pPr>
        <w:spacing w:after="60"/>
      </w:pPr>
      <w:r>
        <w:rPr>
          <w:b/>
        </w:rPr>
        <w:t xml:space="preserve">2. </w:t>
      </w:r>
      <w:r>
        <w:t>Audit Account Tiers &amp; Disable Training: Ensure all team members turn off training in settings.</w:t>
      </w:r>
    </w:p>
    <w:p>
      <w:pPr>
        <w:spacing w:after="60"/>
      </w:pPr>
      <w:r>
        <w:rPr>
          <w:b/>
        </w:rPr>
        <w:t xml:space="preserve">3. </w:t>
      </w:r>
      <w:r>
        <w:t>Establish a Clear AI Usage Policy: Define approved tools, forbidden datasets, and code review rules.</w:t>
      </w:r>
    </w:p>
    <w:p>
      <w:pPr>
        <w:spacing w:after="60"/>
      </w:pPr>
      <w:r>
        <w:rPr>
          <w:b/>
        </w:rPr>
        <w:t xml:space="preserve">4. </w:t>
      </w:r>
      <w:r>
        <w:t>Incorporate Automated Secret Scanning: Implement pre-commit hooks (e.g., TruffleHog) on local repos.</w:t>
      </w:r>
    </w:p>
    <w:p>
      <w:pPr>
        <w:spacing w:after="60"/>
      </w:pPr>
      <w:r>
        <w:rPr>
          <w:b/>
        </w:rPr>
        <w:t xml:space="preserve">5. </w:t>
      </w:r>
      <w:r>
        <w:t>Implement Mandatory Human Verification: Mandate manual review of all code, findings, and citations.</w:t>
      </w:r>
    </w:p>
    <w:p>
      <w:pPr>
        <w:keepNext/>
        <w:spacing w:before="280" w:after="80"/>
      </w:pPr>
      <w:r>
        <w:rPr>
          <w:b/>
          <w:color w:val="4A777A"/>
          <w:sz w:val="28"/>
        </w:rPr>
        <w:t>E. Claims Requiring Further Verification</w:t>
      </w:r>
    </w:p>
    <w:p>
      <w:pPr>
        <w:spacing w:after="60"/>
      </w:pPr>
      <w:r>
        <w:rPr>
          <w:b/>
        </w:rPr>
        <w:t xml:space="preserve">1. </w:t>
      </w:r>
      <w:r>
        <w:t>Specific Zero Data Retention eligibility criteria for OpenAI enterprise/API endpoints.</w:t>
      </w:r>
    </w:p>
    <w:p>
      <w:pPr>
        <w:spacing w:after="60"/>
      </w:pPr>
      <w:r>
        <w:rPr>
          <w:b/>
        </w:rPr>
        <w:t xml:space="preserve">2. </w:t>
      </w:r>
      <w:r>
        <w:t>Emerging local DLP browser extension detection rates across complex obfuscated formats.</w:t>
      </w:r>
    </w:p>
    <w:p>
      <w:pPr>
        <w:spacing w:after="60"/>
      </w:pPr>
      <w:r>
        <w:rPr>
          <w:b/>
        </w:rPr>
        <w:t xml:space="preserve">3. </w:t>
      </w:r>
      <w:r>
        <w:t>Evolving jurisdiction-specific statutory penalties under global AI data laws.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