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CHATGPT vs. GEMINI</w:t>
      </w:r>
    </w:p>
    <w:p>
      <w:pPr>
        <w:jc w:val="center"/>
      </w:pPr>
      <w:r>
        <w:rPr>
          <w:i/>
          <w:color w:val="5A5A5A"/>
          <w:sz w:val="20"/>
        </w:rPr>
        <w:t>Research Comparison | Safe Use of Generative AI at Work: Data Leak Prevention</w:t>
      </w:r>
    </w:p>
    <w:p>
      <w:pPr>
        <w:spacing w:after="140"/>
      </w:pPr>
      <w:r>
        <w:t>This table summarises the ChatGPT findings available from the prior capstone discussion and compares them with the uploaded Gemini independent research report. Current vendor-policy claims require verification against official documentation.</w:t>
      </w:r>
    </w:p>
    <w:tbl>
      <w:tblPr>
        <w:tblStyle w:val="TableGrid"/>
        <w:tblW w:type="auto" w:w="0"/>
        <w:jc w:val="center"/>
        <w:tblLayout w:type="fixed"/>
        <w:tblLook w:firstColumn="1" w:firstRow="1" w:lastColumn="0" w:lastRow="0" w:noHBand="0" w:noVBand="1" w:val="04A0"/>
      </w:tblPr>
      <w:tblGrid>
        <w:gridCol w:w="1944"/>
        <w:gridCol w:w="4536"/>
        <w:gridCol w:w="4536"/>
        <w:gridCol w:w="4536"/>
      </w:tblGrid>
      <w:tr>
        <w:trPr>
          <w:tblHeader w:val="true"/>
        </w:trPr>
        <w:tc>
          <w:tcPr>
            <w:tcW w:type="dxa" w:w="1944"/>
            <w:vAlign w:val="center"/>
            <w:shd w:fill="1F4E79"/>
          </w:tcPr>
          <w:p>
            <w:pPr>
              <w:spacing w:after="0"/>
              <w:jc w:val="center"/>
            </w:pPr>
            <w:r>
              <w:rPr>
                <w:b/>
                <w:color w:val="FFFFFF"/>
                <w:sz w:val="18"/>
              </w:rPr>
              <w:t>Research area</w:t>
            </w:r>
          </w:p>
        </w:tc>
        <w:tc>
          <w:tcPr>
            <w:tcW w:type="dxa" w:w="4536"/>
            <w:vAlign w:val="center"/>
            <w:shd w:fill="1F4E79"/>
          </w:tcPr>
          <w:p>
            <w:pPr>
              <w:spacing w:after="0"/>
              <w:jc w:val="center"/>
            </w:pPr>
            <w:r>
              <w:rPr>
                <w:b/>
                <w:color w:val="FFFFFF"/>
                <w:sz w:val="18"/>
              </w:rPr>
              <w:t>ChatGPT findings</w:t>
            </w:r>
          </w:p>
        </w:tc>
        <w:tc>
          <w:tcPr>
            <w:tcW w:type="dxa" w:w="4536"/>
            <w:vAlign w:val="center"/>
            <w:shd w:fill="1F4E79"/>
          </w:tcPr>
          <w:p>
            <w:pPr>
              <w:spacing w:after="0"/>
              <w:jc w:val="center"/>
            </w:pPr>
            <w:r>
              <w:rPr>
                <w:b/>
                <w:color w:val="FFFFFF"/>
                <w:sz w:val="18"/>
              </w:rPr>
              <w:t>Gemini findings</w:t>
            </w:r>
          </w:p>
        </w:tc>
        <w:tc>
          <w:tcPr>
            <w:tcW w:type="dxa" w:w="4536"/>
            <w:vAlign w:val="center"/>
            <w:shd w:fill="1F4E79"/>
          </w:tcPr>
          <w:p>
            <w:pPr>
              <w:spacing w:after="0"/>
              <w:jc w:val="center"/>
            </w:pPr>
            <w:r>
              <w:rPr>
                <w:b/>
                <w:color w:val="FFFFFF"/>
                <w:sz w:val="18"/>
              </w:rPr>
              <w:t>What needs verification?</w:t>
            </w:r>
          </w:p>
        </w:tc>
      </w:tr>
      <w:tr>
        <w:tc>
          <w:tcPr>
            <w:tcW w:type="dxa" w:w="1944"/>
            <w:vAlign w:val="top"/>
            <w:shd w:fill="D9EAF7"/>
          </w:tcPr>
          <w:p>
            <w:pPr>
              <w:spacing w:before="20" w:after="40" w:line="240" w:lineRule="auto"/>
            </w:pPr>
            <w:r>
              <w:rPr>
                <w:b/>
                <w:color w:val="1F4E79"/>
                <w:sz w:val="16"/>
              </w:rPr>
              <w:t>1. Personal-data leakage</w:t>
            </w:r>
          </w:p>
        </w:tc>
        <w:tc>
          <w:tcPr>
            <w:tcW w:type="dxa" w:w="4536"/>
            <w:vAlign w:val="top"/>
          </w:tcPr>
          <w:p>
            <w:pPr>
              <w:spacing w:before="20" w:after="40" w:line="240" w:lineRule="auto"/>
            </w:pPr>
            <w:r>
              <w:rPr>
                <w:sz w:val="16"/>
              </w:rPr>
              <w:t>Sharing personal information, confidential documents, customer records, or uploaded files with AI tools can expose sensitive information. Recommended safeguards include data minimisation, redaction, anonymisation, and using approved AI tools.</w:t>
            </w:r>
          </w:p>
        </w:tc>
        <w:tc>
          <w:tcPr>
            <w:tcW w:type="dxa" w:w="4536"/>
            <w:vAlign w:val="top"/>
            <w:shd w:fill="F3F5F7"/>
          </w:tcPr>
          <w:p>
            <w:pPr>
              <w:spacing w:before="20" w:after="40" w:line="240" w:lineRule="auto"/>
            </w:pPr>
            <w:r>
              <w:rPr>
                <w:sz w:val="16"/>
              </w:rPr>
              <w:t>The report identifies personally identifiable information (PII), customer records, and student information as high-risk data. It highlights possible exposure through model training, human review, and prompt logging.</w:t>
            </w:r>
          </w:p>
        </w:tc>
        <w:tc>
          <w:tcPr>
            <w:tcW w:type="dxa" w:w="4536"/>
            <w:vAlign w:val="top"/>
          </w:tcPr>
          <w:p>
            <w:pPr>
              <w:spacing w:before="20" w:after="40" w:line="240" w:lineRule="auto"/>
            </w:pPr>
            <w:r>
              <w:rPr>
                <w:sz w:val="16"/>
              </w:rPr>
              <w:t>Check official OpenAI and Google privacy policies to verify how personal data is processed, stored, and used for model improvement under different account types.</w:t>
            </w:r>
          </w:p>
        </w:tc>
      </w:tr>
      <w:tr>
        <w:tc>
          <w:tcPr>
            <w:tcW w:type="dxa" w:w="1944"/>
            <w:vAlign w:val="top"/>
            <w:shd w:fill="D9EAF7"/>
          </w:tcPr>
          <w:p>
            <w:pPr>
              <w:spacing w:before="20" w:after="40" w:line="240" w:lineRule="auto"/>
            </w:pPr>
            <w:r>
              <w:rPr>
                <w:b/>
                <w:color w:val="1F4E79"/>
                <w:sz w:val="16"/>
              </w:rPr>
              <w:t>2. Source-code and API-key risks</w:t>
            </w:r>
          </w:p>
        </w:tc>
        <w:tc>
          <w:tcPr>
            <w:tcW w:type="dxa" w:w="4536"/>
            <w:vAlign w:val="top"/>
          </w:tcPr>
          <w:p>
            <w:pPr>
              <w:spacing w:before="20" w:after="40" w:line="240" w:lineRule="auto"/>
            </w:pPr>
            <w:r>
              <w:rPr>
                <w:sz w:val="16"/>
              </w:rPr>
              <w:t>Source-code disclosure, API keys, passwords, and confidential project information are security risks. Recommended safeguards include removing secrets, using environment variables, and scanning code before sharing it with AI tools.</w:t>
            </w:r>
          </w:p>
        </w:tc>
        <w:tc>
          <w:tcPr>
            <w:tcW w:type="dxa" w:w="4536"/>
            <w:vAlign w:val="top"/>
            <w:shd w:fill="F3F5F7"/>
          </w:tcPr>
          <w:p>
            <w:pPr>
              <w:spacing w:before="20" w:after="40" w:line="240" w:lineRule="auto"/>
            </w:pPr>
            <w:r>
              <w:rPr>
                <w:sz w:val="16"/>
              </w:rPr>
              <w:t>The report identifies source code as a risk to intellectual property and application security. It classifies API keys, passwords, and session tokens as critical risks and recommends local secret scanning and sanitisation.</w:t>
            </w:r>
          </w:p>
        </w:tc>
        <w:tc>
          <w:tcPr>
            <w:tcW w:type="dxa" w:w="4536"/>
            <w:vAlign w:val="top"/>
          </w:tcPr>
          <w:p>
            <w:pPr>
              <w:spacing w:before="20" w:after="40" w:line="240" w:lineRule="auto"/>
            </w:pPr>
            <w:r>
              <w:rPr>
                <w:sz w:val="16"/>
              </w:rPr>
              <w:t>Verify official security recommendations and secret-management guidance. Test whether the proposed Python checker detects representative API-key patterns without excessive false positives.</w:t>
            </w:r>
          </w:p>
        </w:tc>
      </w:tr>
      <w:tr>
        <w:tc>
          <w:tcPr>
            <w:tcW w:type="dxa" w:w="1944"/>
            <w:vAlign w:val="top"/>
            <w:shd w:fill="D9EAF7"/>
          </w:tcPr>
          <w:p>
            <w:pPr>
              <w:spacing w:before="20" w:after="40" w:line="240" w:lineRule="auto"/>
            </w:pPr>
            <w:r>
              <w:rPr>
                <w:b/>
                <w:color w:val="1F4E79"/>
                <w:sz w:val="16"/>
              </w:rPr>
              <w:t>3. Data retention</w:t>
            </w:r>
          </w:p>
        </w:tc>
        <w:tc>
          <w:tcPr>
            <w:tcW w:type="dxa" w:w="4536"/>
            <w:vAlign w:val="top"/>
          </w:tcPr>
          <w:p>
            <w:pPr>
              <w:spacing w:before="20" w:after="40" w:line="240" w:lineRule="auto"/>
            </w:pPr>
            <w:r>
              <w:rPr>
                <w:sz w:val="16"/>
              </w:rPr>
              <w:t>Chat-history visibility, model-training preferences, and backend data retention are separate issues. Disabling model improvement does not necessarily eliminate all data processing or retention. Rules can differ between consumer, business, and API services.</w:t>
            </w:r>
          </w:p>
        </w:tc>
        <w:tc>
          <w:tcPr>
            <w:tcW w:type="dxa" w:w="4536"/>
            <w:vAlign w:val="top"/>
            <w:shd w:fill="F3F5F7"/>
          </w:tcPr>
          <w:p>
            <w:pPr>
              <w:spacing w:before="20" w:after="40" w:line="240" w:lineRule="auto"/>
            </w:pPr>
            <w:r>
              <w:rPr>
                <w:sz w:val="16"/>
              </w:rPr>
              <w:t>The report states that consumer services may retain prompts for abuse monitoring and that retention policies differ between consumer and enterprise services. It also discusses Zero Data Retention options for eligible enterprise API endpoints.</w:t>
            </w:r>
          </w:p>
        </w:tc>
        <w:tc>
          <w:tcPr>
            <w:tcW w:type="dxa" w:w="4536"/>
            <w:vAlign w:val="top"/>
          </w:tcPr>
          <w:p>
            <w:pPr>
              <w:spacing w:before="20" w:after="40" w:line="240" w:lineRule="auto"/>
            </w:pPr>
            <w:r>
              <w:rPr>
                <w:sz w:val="16"/>
              </w:rPr>
              <w:t>Check current official OpenAI and Google documentation for retention periods, deletion conditions, temporary-chat handling, training controls, and product-specific exceptions.</w:t>
            </w:r>
          </w:p>
        </w:tc>
      </w:tr>
      <w:tr>
        <w:tc>
          <w:tcPr>
            <w:tcW w:type="dxa" w:w="1944"/>
            <w:vAlign w:val="top"/>
            <w:shd w:fill="D9EAF7"/>
          </w:tcPr>
          <w:p>
            <w:pPr>
              <w:spacing w:before="20" w:after="40" w:line="240" w:lineRule="auto"/>
            </w:pPr>
            <w:r>
              <w:rPr>
                <w:b/>
                <w:color w:val="1F4E79"/>
                <w:sz w:val="16"/>
              </w:rPr>
              <w:t>4. Human review</w:t>
            </w:r>
          </w:p>
        </w:tc>
        <w:tc>
          <w:tcPr>
            <w:tcW w:type="dxa" w:w="4536"/>
            <w:vAlign w:val="top"/>
          </w:tcPr>
          <w:p>
            <w:pPr>
              <w:spacing w:before="20" w:after="40" w:line="240" w:lineRule="auto"/>
            </w:pPr>
            <w:r>
              <w:rPr>
                <w:sz w:val="16"/>
              </w:rPr>
              <w:t>Possible human access to AI conversations is a privacy consideration. Recommended safeguards include avoiding confidential inputs and checking provider privacy terms, account settings, and applicable data-handling policies.</w:t>
            </w:r>
          </w:p>
        </w:tc>
        <w:tc>
          <w:tcPr>
            <w:tcW w:type="dxa" w:w="4536"/>
            <w:vAlign w:val="top"/>
            <w:shd w:fill="F3F5F7"/>
          </w:tcPr>
          <w:p>
            <w:pPr>
              <w:spacing w:before="20" w:after="40" w:line="240" w:lineRule="auto"/>
            </w:pPr>
            <w:r>
              <w:rPr>
                <w:sz w:val="16"/>
              </w:rPr>
              <w:t>The report discusses human review of consumer prompts for safety and quality. It contrasts consumer services with managed enterprise and education services, where different data-protection commitments may apply.</w:t>
            </w:r>
          </w:p>
        </w:tc>
        <w:tc>
          <w:tcPr>
            <w:tcW w:type="dxa" w:w="4536"/>
            <w:vAlign w:val="top"/>
          </w:tcPr>
          <w:p>
            <w:pPr>
              <w:spacing w:before="20" w:after="40" w:line="240" w:lineRule="auto"/>
            </w:pPr>
            <w:r>
              <w:rPr>
                <w:sz w:val="16"/>
              </w:rPr>
              <w:t>Verify current human-review policies, including exceptions, account-type differences, and the effects of privacy settings. Do not assume every account follows identical rules.</w:t>
            </w:r>
          </w:p>
        </w:tc>
      </w:tr>
      <w:tr>
        <w:tc>
          <w:tcPr>
            <w:tcW w:type="dxa" w:w="1944"/>
            <w:vAlign w:val="top"/>
            <w:shd w:fill="D9EAF7"/>
          </w:tcPr>
          <w:p>
            <w:pPr>
              <w:spacing w:before="20" w:after="40" w:line="240" w:lineRule="auto"/>
            </w:pPr>
            <w:r>
              <w:rPr>
                <w:b/>
                <w:color w:val="1F4E79"/>
                <w:sz w:val="16"/>
              </w:rPr>
              <w:t>5. Safe prompting</w:t>
            </w:r>
          </w:p>
        </w:tc>
        <w:tc>
          <w:tcPr>
            <w:tcW w:type="dxa" w:w="4536"/>
            <w:vAlign w:val="top"/>
          </w:tcPr>
          <w:p>
            <w:pPr>
              <w:spacing w:before="20" w:after="40" w:line="240" w:lineRule="auto"/>
            </w:pPr>
            <w:r>
              <w:rPr>
                <w:sz w:val="16"/>
              </w:rPr>
              <w:t>Use fictional placeholders, remove identifying details, minimise the information supplied, and avoid real credentials or confidential documents. Asking an AI to keep information private does not itself provide a technical privacy guarantee.</w:t>
            </w:r>
          </w:p>
        </w:tc>
        <w:tc>
          <w:tcPr>
            <w:tcW w:type="dxa" w:w="4536"/>
            <w:vAlign w:val="top"/>
            <w:shd w:fill="F3F5F7"/>
          </w:tcPr>
          <w:p>
            <w:pPr>
              <w:spacing w:before="20" w:after="40" w:line="240" w:lineRule="auto"/>
            </w:pPr>
            <w:r>
              <w:rPr>
                <w:sz w:val="16"/>
              </w:rPr>
              <w:t>The report recommends replacing real names and sensitive values with placeholders such as [USER_ID_1] and [COMPANY_X]. It also advises using appropriate privacy settings, protecting credentials, and choosing approved platforms.</w:t>
            </w:r>
          </w:p>
        </w:tc>
        <w:tc>
          <w:tcPr>
            <w:tcW w:type="dxa" w:w="4536"/>
            <w:vAlign w:val="top"/>
          </w:tcPr>
          <w:p>
            <w:pPr>
              <w:spacing w:before="20" w:after="40" w:line="240" w:lineRule="auto"/>
            </w:pPr>
            <w:r>
              <w:rPr>
                <w:sz w:val="16"/>
              </w:rPr>
              <w:t>Compare recommendations against official vendor guidance. Test whether redaction preserves enough context for useful AI responses while preventing disclosure of sensitive information.</w:t>
            </w:r>
          </w:p>
        </w:tc>
      </w:tr>
      <w:tr>
        <w:tc>
          <w:tcPr>
            <w:tcW w:type="dxa" w:w="1944"/>
            <w:vAlign w:val="top"/>
            <w:shd w:fill="D9EAF7"/>
          </w:tcPr>
          <w:p>
            <w:pPr>
              <w:spacing w:before="20" w:after="40" w:line="240" w:lineRule="auto"/>
            </w:pPr>
            <w:r>
              <w:rPr>
                <w:b/>
                <w:color w:val="1F4E79"/>
                <w:sz w:val="16"/>
              </w:rPr>
              <w:t>6. Incident response</w:t>
            </w:r>
          </w:p>
        </w:tc>
        <w:tc>
          <w:tcPr>
            <w:tcW w:type="dxa" w:w="4536"/>
            <w:vAlign w:val="top"/>
          </w:tcPr>
          <w:p>
            <w:pPr>
              <w:spacing w:before="20" w:after="40" w:line="240" w:lineRule="auto"/>
            </w:pPr>
            <w:r>
              <w:rPr>
                <w:sz w:val="16"/>
              </w:rPr>
              <w:t>Practical response measures include reporting suspected exposure, containing the incident, assessing affected information, and taking corrective action. Relevant steps include securing exposed credentials, reviewing access, and notifying appropriate organisational contacts.</w:t>
            </w:r>
          </w:p>
        </w:tc>
        <w:tc>
          <w:tcPr>
            <w:tcW w:type="dxa" w:w="4536"/>
            <w:vAlign w:val="top"/>
            <w:shd w:fill="F3F5F7"/>
          </w:tcPr>
          <w:p>
            <w:pPr>
              <w:spacing w:before="20" w:after="40" w:line="240" w:lineRule="auto"/>
            </w:pPr>
            <w:r>
              <w:rPr>
                <w:sz w:val="16"/>
              </w:rPr>
              <w:t>The report discusses preventive controls such as multifactor authentication, access controls, log analysis, secret scanning, and acceptable-use policies. The reviewed sections do not clearly provide a complete step-by-step incident-response procedure.</w:t>
            </w:r>
          </w:p>
        </w:tc>
        <w:tc>
          <w:tcPr>
            <w:tcW w:type="dxa" w:w="4536"/>
            <w:vAlign w:val="top"/>
          </w:tcPr>
          <w:p>
            <w:pPr>
              <w:spacing w:before="20" w:after="40" w:line="240" w:lineRule="auto"/>
            </w:pPr>
            <w:r>
              <w:rPr>
                <w:sz w:val="16"/>
              </w:rPr>
              <w:t>Consult official incident-response guidance, including applicable CERT-In requirements. Establish and test a procedure for reporting, containing, assessing, and remediating accidental disclosure.</w:t>
            </w:r>
          </w:p>
        </w:tc>
      </w:tr>
      <w:tr>
        <w:tc>
          <w:tcPr>
            <w:tcW w:type="dxa" w:w="1944"/>
            <w:vAlign w:val="top"/>
            <w:shd w:fill="D9EAF7"/>
          </w:tcPr>
          <w:p>
            <w:pPr>
              <w:spacing w:before="20" w:after="40" w:line="240" w:lineRule="auto"/>
            </w:pPr>
            <w:r>
              <w:rPr>
                <w:b/>
                <w:color w:val="1F4E79"/>
                <w:sz w:val="16"/>
              </w:rPr>
              <w:t>7. Limitations of automation</w:t>
            </w:r>
          </w:p>
        </w:tc>
        <w:tc>
          <w:tcPr>
            <w:tcW w:type="dxa" w:w="4536"/>
            <w:vAlign w:val="top"/>
          </w:tcPr>
          <w:p>
            <w:pPr>
              <w:spacing w:before="20" w:after="40" w:line="240" w:lineRule="auto"/>
            </w:pPr>
            <w:r>
              <w:rPr>
                <w:sz w:val="16"/>
              </w:rPr>
              <w:t>A Python or pattern-based checker can miss sensitive information, generate false positives, and fail to understand context. A clean scan cannot guarantee that a prompt is safe; automated checking should be combined with human review.</w:t>
            </w:r>
          </w:p>
        </w:tc>
        <w:tc>
          <w:tcPr>
            <w:tcW w:type="dxa" w:w="4536"/>
            <w:vAlign w:val="top"/>
            <w:shd w:fill="F3F5F7"/>
          </w:tcPr>
          <w:p>
            <w:pPr>
              <w:spacing w:before="20" w:after="40" w:line="240" w:lineRule="auto"/>
            </w:pPr>
            <w:r>
              <w:rPr>
                <w:sz w:val="16"/>
              </w:rPr>
              <w:t>The report identifies contextual re-identification, complex data structures, obfuscated secrets, and prompt-injection bypasses as limitations of automated data-loss prevention (DLP).</w:t>
            </w:r>
          </w:p>
        </w:tc>
        <w:tc>
          <w:tcPr>
            <w:tcW w:type="dxa" w:w="4536"/>
            <w:vAlign w:val="top"/>
          </w:tcPr>
          <w:p>
            <w:pPr>
              <w:spacing w:before="20" w:after="40" w:line="240" w:lineRule="auto"/>
            </w:pPr>
            <w:r>
              <w:rPr>
                <w:sz w:val="16"/>
              </w:rPr>
              <w:t>Test the Python checker with safe examples, sensitive-data examples, and variations that may cause false positives or false negatives. Document test evidence and limitations requiring manual review.</w:t>
            </w:r>
          </w:p>
        </w:tc>
      </w:tr>
    </w:tbl>
    <w:p/>
    <w:p>
      <w:r>
        <w:rPr>
          <w:b/>
          <w:color w:val="1F4E79"/>
          <w:sz w:val="24"/>
        </w:rPr>
        <w:t>Overall comparison</w:t>
      </w:r>
    </w:p>
    <w:p>
      <w:pPr>
        <w:spacing w:after="60"/>
      </w:pPr>
      <w:r>
        <w:rPr>
          <w:b/>
        </w:rPr>
        <w:t xml:space="preserve">ChatGPT's main contribution: </w:t>
      </w:r>
      <w:r>
        <w:t>Practical recommendations for safe prompting, minimising sensitive data, responding to suspected exposure, and understanding the limitations of automated checking.</w:t>
      </w:r>
    </w:p>
    <w:p>
      <w:pPr>
        <w:spacing w:after="60"/>
      </w:pPr>
      <w:r>
        <w:rPr>
          <w:b/>
        </w:rPr>
        <w:t xml:space="preserve">Gemini's main contribution: </w:t>
      </w:r>
      <w:r>
        <w:t>A structured research report covering data-leak risks, consumer versus managed accounts, privacy controls, security frameworks, and limitations of automated DLP.</w:t>
      </w:r>
    </w:p>
    <w:p>
      <w:pPr>
        <w:spacing w:after="60"/>
      </w:pPr>
      <w:r>
        <w:rPr>
          <w:b/>
        </w:rPr>
        <w:t xml:space="preserve">Research limitation: </w:t>
      </w:r>
      <w:r>
        <w:t>This is a summary comparison, not a verbatim comparison of two complete original response documents. Current vendor-policy claims must be verified against official documentation.</w:t>
      </w:r>
    </w:p>
    <w:p>
      <w:r>
        <w:rPr>
          <w:b/>
          <w:color w:val="1F4E79"/>
          <w:sz w:val="24"/>
        </w:rPr>
        <w:t>Next steps for the capstone</w:t>
      </w:r>
    </w:p>
    <w:p>
      <w:pPr>
        <w:pStyle w:val="ListNumber"/>
        <w:spacing w:after="20"/>
      </w:pPr>
      <w:r>
        <w:t>Save this comparison table in the research report.</w:t>
      </w:r>
    </w:p>
    <w:p>
      <w:pPr>
        <w:pStyle w:val="ListNumber"/>
        <w:spacing w:after="20"/>
      </w:pPr>
      <w:r>
        <w:t>Verify official OpenAI and Google privacy policies before treating specific retention periods or account-level protections as confirmed facts.</w:t>
      </w:r>
    </w:p>
    <w:p>
      <w:pPr>
        <w:pStyle w:val="ListNumber"/>
        <w:spacing w:after="20"/>
      </w:pPr>
      <w:r>
        <w:t>Test the Python data-leak checker using safe examples, sensitive-data examples, and variations that may cause false positives or false negatives.</w:t>
      </w:r>
    </w:p>
    <w:p>
      <w:pPr>
        <w:pStyle w:val="ListNumber"/>
        <w:spacing w:after="20"/>
      </w:pPr>
      <w:r>
        <w:t>Document the results with evidence, limitations, and differences between the two AI tools.</w:t>
      </w:r>
    </w:p>
    <w:sectPr w:rsidR="00FC693F" w:rsidRPr="0006063C" w:rsidSect="00034616">
      <w:footerReference w:type="default" r:id="rId9"/>
      <w:pgSz w:w="15840" w:h="12240" w:orient="landscape"/>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Capstone Research | Safe Use of Generative AI at Work: Data Leak Prevention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2828"/>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