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AFBA9">
      <w:pPr>
        <w:pStyle w:val="2"/>
        <w:keepNext w:val="0"/>
        <w:keepLines w:val="0"/>
        <w:widowControl/>
        <w:suppressLineNumbers w:val="0"/>
      </w:pPr>
      <w:r>
        <w:t>Source 2: NIST Generative AI Profile</w:t>
      </w:r>
    </w:p>
    <w:p w14:paraId="507D6B5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Organisation:</w:t>
      </w:r>
      <w:r>
        <w:t xml:space="preserve"> National Institute of Standards and Technology (NIST)</w:t>
      </w:r>
    </w:p>
    <w:p w14:paraId="7926367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Source title:</w:t>
      </w:r>
      <w:r>
        <w:t xml:space="preserve"> Artificial Intelligence Risk Management Framework: Generative Artificial Intelligence Profile</w:t>
      </w:r>
    </w:p>
    <w:p w14:paraId="3202529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Publication number:</w:t>
      </w:r>
      <w:r>
        <w:t xml:space="preserve"> NIST AI 600-1</w:t>
      </w:r>
    </w:p>
    <w:p w14:paraId="227FF1E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Publication date:</w:t>
      </w:r>
      <w:r>
        <w:t xml:space="preserve"> 26 July 2024</w:t>
      </w:r>
    </w:p>
    <w:p w14:paraId="7744E9B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Official source:</w:t>
      </w:r>
      <w:r>
        <w:t xml:space="preserve"> </w:t>
      </w:r>
      <w:r>
        <w:fldChar w:fldCharType="begin"/>
      </w:r>
      <w:r>
        <w:instrText xml:space="preserve"> HYPERLINK "https://nvlpubs.nist.gov/nistpubs/ai/NIST.AI.600-1.pdf" </w:instrText>
      </w:r>
      <w:r>
        <w:fldChar w:fldCharType="separate"/>
      </w:r>
      <w:r>
        <w:rPr>
          <w:rStyle w:val="5"/>
        </w:rPr>
        <w:t>https://nvlpubs.nist.gov/nistpubs/ai/NIST.AI.600-1.pdf</w:t>
      </w:r>
      <w:r>
        <w:fldChar w:fldCharType="end"/>
      </w:r>
    </w:p>
    <w:p w14:paraId="3EA0086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Purpose of consulting this source:</w:t>
      </w:r>
      <w:r>
        <w:br w:type="textWrapping"/>
      </w:r>
      <w:r>
        <w:t>To identify risks and risk-management practices that are particularly relevant to generative AI systems.</w:t>
      </w:r>
    </w:p>
    <w:p w14:paraId="016E87B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Verified findings:</w:t>
      </w:r>
    </w:p>
    <w:p w14:paraId="3FEBBE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9036E4">
      <w:pPr>
        <w:pStyle w:val="6"/>
        <w:keepNext w:val="0"/>
        <w:keepLines w:val="0"/>
        <w:widowControl/>
        <w:suppressLineNumbers w:val="0"/>
        <w:ind w:left="720"/>
      </w:pPr>
      <w:r>
        <w:t>NIST AI 600-1 is a profile associated with the NIST AI Risk Management Framework.</w:t>
      </w:r>
    </w:p>
    <w:p w14:paraId="2BE5A5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AE55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E64105">
      <w:pPr>
        <w:pStyle w:val="6"/>
        <w:keepNext w:val="0"/>
        <w:keepLines w:val="0"/>
        <w:widowControl/>
        <w:suppressLineNumbers w:val="0"/>
        <w:ind w:left="720"/>
      </w:pPr>
      <w:r>
        <w:t>It addresses risks associated with generative AI and proposes risk-management actions.</w:t>
      </w:r>
    </w:p>
    <w:p w14:paraId="1D404F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F3F1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54D908">
      <w:pPr>
        <w:pStyle w:val="6"/>
        <w:keepNext w:val="0"/>
        <w:keepLines w:val="0"/>
        <w:widowControl/>
        <w:suppressLineNumbers w:val="0"/>
        <w:ind w:left="720"/>
      </w:pPr>
      <w:r>
        <w:t>It can inform a team's approach to identifying and mitigating generative AI risks.</w:t>
      </w:r>
    </w:p>
    <w:p w14:paraId="68918D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19E2D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Relevance to the capstone:</w:t>
      </w:r>
      <w:r>
        <w:br w:type="textWrapping"/>
      </w:r>
      <w:r>
        <w:t>This source supports the project's focus on preventing data exposure, reviewing AI outputs, managing risks and establishing responsible AI-use practices.</w:t>
      </w:r>
    </w:p>
    <w:p w14:paraId="48320B4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Verification status:</w:t>
      </w:r>
      <w:r>
        <w:t xml:space="preserve"> The publication and its purpose are supported by the official NIST resources page. Consult the report itself before attributing a specific recommendation to it.</w:t>
      </w:r>
    </w:p>
    <w:p w14:paraId="51EDD59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Limitation:</w:t>
      </w:r>
      <w:r>
        <w:t xml:space="preserve"> The profile is risk-management guidance, not a product-specific privacy policy.</w:t>
      </w:r>
    </w:p>
    <w:p w14:paraId="44B61080">
      <w:pPr>
        <w:pStyle w:val="2"/>
        <w:keepNext w:val="0"/>
        <w:keepLines w:val="0"/>
        <w:widowControl/>
        <w:suppressLineNumbers w:val="0"/>
      </w:pPr>
      <w:r>
        <w:t>Source 3: CERT-In Security Guidelines</w:t>
      </w:r>
    </w:p>
    <w:p w14:paraId="182428D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Organisation:</w:t>
      </w:r>
      <w:r>
        <w:t xml:space="preserve"> Indian Computer Emergency Response Team (CERT-In)</w:t>
      </w:r>
    </w:p>
    <w:p w14:paraId="5A8AFA4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Source title:</w:t>
      </w:r>
      <w:r>
        <w:t xml:space="preserve"> Official Security Guidelines Portal</w:t>
      </w:r>
    </w:p>
    <w:p w14:paraId="2A31D23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URL:</w:t>
      </w:r>
      <w:r>
        <w:t xml:space="preserve"> </w:t>
      </w:r>
      <w:r>
        <w:fldChar w:fldCharType="begin"/>
      </w:r>
      <w:r>
        <w:instrText xml:space="preserve"> HYPERLINK "https://www.cert-in.org.in/s2cMainServlet?pageid=GUIDLNVIEW01" </w:instrText>
      </w:r>
      <w:r>
        <w:fldChar w:fldCharType="separate"/>
      </w:r>
      <w:r>
        <w:rPr>
          <w:rStyle w:val="5"/>
        </w:rPr>
        <w:t>https://www.cert-in.org.in/s2cMainServlet?pageid=GUIDLNVIEW01</w:t>
      </w:r>
      <w:r>
        <w:fldChar w:fldCharType="end"/>
      </w:r>
    </w:p>
    <w:p w14:paraId="62FC7E5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Date checked:</w:t>
      </w:r>
      <w:r>
        <w:t xml:space="preserve"> 18 October 2026, if checked on this date.</w:t>
      </w:r>
    </w:p>
    <w:p w14:paraId="0914B9B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Purpose of consulting this source:</w:t>
      </w:r>
      <w:r>
        <w:br w:type="textWrapping"/>
      </w:r>
      <w:r>
        <w:t>To identify relevant Indian cybersecurity guidance for small teams.</w:t>
      </w:r>
    </w:p>
    <w:p w14:paraId="53B18E0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Verified findings:</w:t>
      </w:r>
    </w:p>
    <w:p w14:paraId="1A291E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33916B">
      <w:pPr>
        <w:pStyle w:val="6"/>
        <w:keepNext w:val="0"/>
        <w:keepLines w:val="0"/>
        <w:widowControl/>
        <w:suppressLineNumbers w:val="0"/>
        <w:ind w:left="720"/>
      </w:pPr>
      <w:r>
        <w:t>CERT-In publishes official cybersecurity guidelines.</w:t>
      </w:r>
    </w:p>
    <w:p w14:paraId="0FD2E9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157F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DCBA9B">
      <w:pPr>
        <w:pStyle w:val="6"/>
        <w:keepNext w:val="0"/>
        <w:keepLines w:val="0"/>
        <w:widowControl/>
        <w:suppressLineNumbers w:val="0"/>
        <w:ind w:left="720"/>
      </w:pPr>
      <w:r>
        <w:t>Its guidelines portal includes material concerning cybersecurity practices for micro, small and medium enterprises.</w:t>
      </w:r>
    </w:p>
    <w:p w14:paraId="43F418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C4A7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58605F">
      <w:pPr>
        <w:pStyle w:val="6"/>
        <w:keepNext w:val="0"/>
        <w:keepLines w:val="0"/>
        <w:widowControl/>
        <w:suppressLineNumbers w:val="0"/>
        <w:ind w:left="720"/>
      </w:pPr>
      <w:r>
        <w:t>These materials can help inform general security recommendations for small teams.</w:t>
      </w:r>
    </w:p>
    <w:p w14:paraId="317C57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ADB42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Relevance to the capstone:</w:t>
      </w:r>
      <w:r>
        <w:br w:type="textWrapping"/>
      </w:r>
      <w:r>
        <w:t>The guidance provides an Indian cybersecurity reference point for developing safer information-handling practices.</w:t>
      </w:r>
    </w:p>
    <w:p w14:paraId="32DA525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Verification status:</w:t>
      </w:r>
      <w:r>
        <w:t xml:space="preserve"> The existence of the official guidelines portal and the listed MSME guideline are supported by the CERT-In website.</w:t>
      </w:r>
    </w:p>
    <w:p w14:paraId="3DC13E3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Limitation:</w:t>
      </w:r>
      <w:r>
        <w:t xml:space="preserve"> Any specific recommendation must be checked against the full text of the relevant guideline. General cybersecurity guidance must not be presented as a specific AI regulation without supporting evidence.</w:t>
      </w:r>
    </w:p>
    <w:p w14:paraId="6B448673">
      <w:pPr>
        <w:pStyle w:val="2"/>
        <w:keepNext w:val="0"/>
        <w:keepLines w:val="0"/>
        <w:widowControl/>
        <w:suppressLineNumbers w:val="0"/>
      </w:pPr>
      <w:r>
        <w:t>Source 4: ChatGPT Data Controls</w:t>
      </w:r>
    </w:p>
    <w:p w14:paraId="07D3AC1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Organisation:</w:t>
      </w:r>
      <w:r>
        <w:t xml:space="preserve"> OpenAI</w:t>
      </w:r>
    </w:p>
    <w:p w14:paraId="2F682A6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Source title:</w:t>
      </w:r>
      <w:r>
        <w:t xml:space="preserve"> Data controls in ChatGPT</w:t>
      </w:r>
    </w:p>
    <w:p w14:paraId="3F9BD1C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URL:</w:t>
      </w:r>
      <w:r>
        <w:t xml:space="preserve"> </w:t>
      </w:r>
      <w:r>
        <w:fldChar w:fldCharType="begin"/>
      </w:r>
      <w:r>
        <w:instrText xml:space="preserve"> HYPERLINK "https://help.openai.com/en/articles/7730893-data-controls-in-chatgpt" </w:instrText>
      </w:r>
      <w:r>
        <w:fldChar w:fldCharType="separate"/>
      </w:r>
      <w:r>
        <w:rPr>
          <w:rStyle w:val="5"/>
        </w:rPr>
        <w:t>https://help.openai.com/en/articles/7730893-data-controls-in-chatgpt</w:t>
      </w:r>
      <w:r>
        <w:fldChar w:fldCharType="end"/>
      </w:r>
    </w:p>
    <w:p w14:paraId="3F4A528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Purpose of consulting this source:</w:t>
      </w:r>
      <w:r>
        <w:br w:type="textWrapping"/>
      </w:r>
      <w:r>
        <w:t>To understand how ChatGPT users can manage model-improvement settings and related data controls.</w:t>
      </w:r>
    </w:p>
    <w:p w14:paraId="1EA6CBD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Verified findings:</w:t>
      </w:r>
    </w:p>
    <w:p w14:paraId="100CE8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968E5C">
      <w:pPr>
        <w:pStyle w:val="6"/>
        <w:keepNext w:val="0"/>
        <w:keepLines w:val="0"/>
        <w:widowControl/>
        <w:suppressLineNumbers w:val="0"/>
        <w:ind w:left="720"/>
      </w:pPr>
      <w:r>
        <w:t>ChatGPT provides Data Controls for managing certain data and privacy options.</w:t>
      </w:r>
    </w:p>
    <w:p w14:paraId="1A44E3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7FE6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28FD92">
      <w:pPr>
        <w:pStyle w:val="6"/>
        <w:keepNext w:val="0"/>
        <w:keepLines w:val="0"/>
        <w:widowControl/>
        <w:suppressLineNumbers w:val="0"/>
        <w:ind w:left="720"/>
      </w:pPr>
      <w:r>
        <w:t>Users can turn off the "Improve the model for everyone" setting.</w:t>
      </w:r>
    </w:p>
    <w:p w14:paraId="65F19B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0BA1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1B3751">
      <w:pPr>
        <w:pStyle w:val="6"/>
        <w:keepNext w:val="0"/>
        <w:keepLines w:val="0"/>
        <w:widowControl/>
        <w:suppressLineNumbers w:val="0"/>
        <w:ind w:left="720"/>
      </w:pPr>
      <w:r>
        <w:t>According to the documentation, new conversations are not used to train OpenAI models when that setting is off.</w:t>
      </w:r>
    </w:p>
    <w:p w14:paraId="4A48E7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272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0130C7">
      <w:pPr>
        <w:pStyle w:val="6"/>
        <w:keepNext w:val="0"/>
        <w:keepLines w:val="0"/>
        <w:widowControl/>
        <w:suppressLineNumbers w:val="0"/>
        <w:ind w:left="720"/>
      </w:pPr>
      <w:r>
        <w:t>New conversations can still appear in chat history.</w:t>
      </w:r>
    </w:p>
    <w:p w14:paraId="4047AA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31D5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0D38C2">
      <w:pPr>
        <w:pStyle w:val="6"/>
        <w:keepNext w:val="0"/>
        <w:keepLines w:val="0"/>
        <w:widowControl/>
        <w:suppressLineNumbers w:val="0"/>
        <w:ind w:left="720"/>
      </w:pPr>
      <w:r>
        <w:t>Available controls depend on the account and workspace settings.</w:t>
      </w:r>
    </w:p>
    <w:p w14:paraId="4BC26E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0CFE6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Relevance to the capstone:</w:t>
      </w:r>
      <w:r>
        <w:br w:type="textWrapping"/>
      </w:r>
      <w:r>
        <w:t>Students and teams should understand their account's privacy controls before using AI for work or academic tasks.</w:t>
      </w:r>
    </w:p>
    <w:p w14:paraId="785B41C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Verification status:</w:t>
      </w:r>
      <w:r>
        <w:t xml:space="preserve"> Supported by the official OpenAI Help Center documentation.</w:t>
      </w:r>
    </w:p>
    <w:p w14:paraId="72DCFEF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Limitation:</w:t>
      </w:r>
      <w:r>
        <w:t xml:space="preserve"> Model-improvement settings should not be described as a guarantee of zero retention or complete confidentiality. Users must also follow applicable organisational rules and avoid submitting sensitive data to unapproved tools.</w:t>
      </w:r>
    </w:p>
    <w:p w14:paraId="1D0072A3">
      <w:pPr>
        <w:pStyle w:val="2"/>
        <w:keepNext w:val="0"/>
        <w:keepLines w:val="0"/>
        <w:widowControl/>
        <w:suppressLineNumbers w:val="0"/>
      </w:pPr>
      <w:r>
        <w:t>Source 5: Google Gemini Privacy Hub</w:t>
      </w:r>
    </w:p>
    <w:p w14:paraId="755B5CD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Organisation:</w:t>
      </w:r>
      <w:r>
        <w:t xml:space="preserve"> Google</w:t>
      </w:r>
    </w:p>
    <w:p w14:paraId="44F1BBA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Source title:</w:t>
      </w:r>
      <w:r>
        <w:t xml:space="preserve"> Gemini Apps Privacy Hub</w:t>
      </w:r>
    </w:p>
    <w:p w14:paraId="430F6AC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URL:</w:t>
      </w:r>
      <w:r>
        <w:t xml:space="preserve"> </w:t>
      </w:r>
      <w:r>
        <w:fldChar w:fldCharType="begin"/>
      </w:r>
      <w:r>
        <w:instrText xml:space="preserve"> HYPERLINK "https://support.google.com/gemini/answer/13594961" </w:instrText>
      </w:r>
      <w:r>
        <w:fldChar w:fldCharType="separate"/>
      </w:r>
      <w:r>
        <w:rPr>
          <w:rStyle w:val="5"/>
        </w:rPr>
        <w:t>https://support.google.com/gemini/answer/13594961</w:t>
      </w:r>
      <w:r>
        <w:fldChar w:fldCharType="end"/>
      </w:r>
    </w:p>
    <w:p w14:paraId="265FE1E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Purpose of consulting this source:</w:t>
      </w:r>
      <w:r>
        <w:br w:type="textWrapping"/>
      </w:r>
      <w:r>
        <w:t>To understand how Gemini Apps handle user-provided information and what privacy controls are available.</w:t>
      </w:r>
    </w:p>
    <w:p w14:paraId="31803FF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Verified findings:</w:t>
      </w:r>
    </w:p>
    <w:p w14:paraId="78F647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12CFFD">
      <w:pPr>
        <w:pStyle w:val="6"/>
        <w:keepNext w:val="0"/>
        <w:keepLines w:val="0"/>
        <w:widowControl/>
        <w:suppressLineNumbers w:val="0"/>
        <w:ind w:left="720"/>
      </w:pPr>
      <w:r>
        <w:t>Gemini Apps process information users submit, including prompts and shared files.</w:t>
      </w:r>
    </w:p>
    <w:p w14:paraId="3BBF4D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BF44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9D6F04">
      <w:pPr>
        <w:pStyle w:val="6"/>
        <w:keepNext w:val="0"/>
        <w:keepLines w:val="0"/>
        <w:widowControl/>
        <w:suppressLineNumbers w:val="0"/>
        <w:ind w:left="720"/>
      </w:pPr>
      <w:r>
        <w:t>A subset of chats may be reviewed by human reviewers for purposes described in Google's documentation.</w:t>
      </w:r>
    </w:p>
    <w:p w14:paraId="16014B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020F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D238E7">
      <w:pPr>
        <w:pStyle w:val="6"/>
        <w:keepNext w:val="0"/>
        <w:keepLines w:val="0"/>
        <w:widowControl/>
        <w:suppressLineNumbers w:val="0"/>
        <w:ind w:left="720"/>
      </w:pPr>
      <w:r>
        <w:t>Users have settings for managing Gemini Apps activity and certain privacy-related controls.</w:t>
      </w:r>
    </w:p>
    <w:p w14:paraId="0D39F0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7C33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6CFA96">
      <w:pPr>
        <w:pStyle w:val="6"/>
        <w:keepNext w:val="0"/>
        <w:keepLines w:val="0"/>
        <w:widowControl/>
        <w:suppressLineNumbers w:val="0"/>
        <w:ind w:left="720"/>
      </w:pPr>
      <w:r>
        <w:t>Connected applications can introduce additional data-handling considerations.</w:t>
      </w:r>
    </w:p>
    <w:p w14:paraId="6C6BD7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D3F12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Relevance to the capstone:</w:t>
      </w:r>
      <w:r>
        <w:br w:type="textWrapping"/>
      </w:r>
      <w:r>
        <w:t>Students and small teams should check the current privacy notice, account settings and connected-app permissions before sharing information with Gemini.</w:t>
      </w:r>
    </w:p>
    <w:p w14:paraId="1589D33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Verification status:</w:t>
      </w:r>
      <w:r>
        <w:t xml:space="preserve"> Supported by the official Google Gemini Privacy Hub.</w:t>
      </w:r>
    </w:p>
    <w:p w14:paraId="21C4432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Limitation:</w:t>
      </w:r>
      <w:r>
        <w:t xml:space="preserve"> Privacy practices and settings may differ according to the product, account and applicable configuration. Do not assume that all Gemini accounts have identical data-handling arrangements.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1577"/>
        <w:gridCol w:w="1938"/>
        <w:gridCol w:w="2931"/>
        <w:gridCol w:w="1512"/>
      </w:tblGrid>
      <w:tr w14:paraId="62A10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B807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No.</w:t>
            </w:r>
          </w:p>
        </w:tc>
        <w:tc>
          <w:tcPr>
            <w:tcW w:w="0" w:type="auto"/>
            <w:shd w:val="clear"/>
            <w:vAlign w:val="center"/>
          </w:tcPr>
          <w:p w14:paraId="6611C8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37D7DA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Main purpose</w:t>
            </w:r>
          </w:p>
        </w:tc>
        <w:tc>
          <w:tcPr>
            <w:tcW w:w="0" w:type="auto"/>
            <w:shd w:val="clear"/>
            <w:vAlign w:val="center"/>
          </w:tcPr>
          <w:p w14:paraId="189843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Claim supported</w:t>
            </w:r>
          </w:p>
        </w:tc>
        <w:tc>
          <w:tcPr>
            <w:tcW w:w="0" w:type="auto"/>
            <w:shd w:val="clear"/>
            <w:vAlign w:val="center"/>
          </w:tcPr>
          <w:p w14:paraId="3760BA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4F5C1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A8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CAA4A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NIST AI RMF</w:t>
            </w:r>
          </w:p>
        </w:tc>
        <w:tc>
          <w:tcPr>
            <w:tcW w:w="0" w:type="auto"/>
            <w:shd w:val="clear"/>
            <w:vAlign w:val="center"/>
          </w:tcPr>
          <w:p w14:paraId="2A8BC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AI risk management</w:t>
            </w:r>
          </w:p>
        </w:tc>
        <w:tc>
          <w:tcPr>
            <w:tcW w:w="0" w:type="auto"/>
            <w:shd w:val="clear"/>
            <w:vAlign w:val="center"/>
          </w:tcPr>
          <w:p w14:paraId="4C61D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NIST provides a voluntary AI risk-management framework</w:t>
            </w:r>
          </w:p>
        </w:tc>
        <w:tc>
          <w:tcPr>
            <w:tcW w:w="0" w:type="auto"/>
            <w:shd w:val="clear"/>
            <w:vAlign w:val="center"/>
          </w:tcPr>
          <w:p w14:paraId="24514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Verified against official source</w:t>
            </w:r>
          </w:p>
        </w:tc>
      </w:tr>
      <w:tr w14:paraId="43778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F6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268C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NIST Generative AI Profile</w:t>
            </w:r>
          </w:p>
        </w:tc>
        <w:tc>
          <w:tcPr>
            <w:tcW w:w="0" w:type="auto"/>
            <w:shd w:val="clear"/>
            <w:vAlign w:val="center"/>
          </w:tcPr>
          <w:p w14:paraId="257E0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Generative AI risks</w:t>
            </w:r>
          </w:p>
        </w:tc>
        <w:tc>
          <w:tcPr>
            <w:tcW w:w="0" w:type="auto"/>
            <w:shd w:val="clear"/>
            <w:vAlign w:val="center"/>
          </w:tcPr>
          <w:p w14:paraId="3C7DD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NIST AI 600-1 addresses generative AI risks and risk-management actions</w:t>
            </w:r>
          </w:p>
        </w:tc>
        <w:tc>
          <w:tcPr>
            <w:tcW w:w="0" w:type="auto"/>
            <w:shd w:val="clear"/>
            <w:vAlign w:val="center"/>
          </w:tcPr>
          <w:p w14:paraId="7710C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Verified against official source</w:t>
            </w:r>
          </w:p>
        </w:tc>
      </w:tr>
      <w:tr w14:paraId="26F3D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68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1465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CERT-In</w:t>
            </w:r>
          </w:p>
        </w:tc>
        <w:tc>
          <w:tcPr>
            <w:tcW w:w="0" w:type="auto"/>
            <w:shd w:val="clear"/>
            <w:vAlign w:val="center"/>
          </w:tcPr>
          <w:p w14:paraId="06522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Indian cybersecurity guidance</w:t>
            </w:r>
          </w:p>
        </w:tc>
        <w:tc>
          <w:tcPr>
            <w:tcW w:w="0" w:type="auto"/>
            <w:shd w:val="clear"/>
            <w:vAlign w:val="center"/>
          </w:tcPr>
          <w:p w14:paraId="33015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CERT-In publishes official security guidelines, including MSME guidance</w:t>
            </w:r>
          </w:p>
        </w:tc>
        <w:tc>
          <w:tcPr>
            <w:tcW w:w="0" w:type="auto"/>
            <w:shd w:val="clear"/>
            <w:vAlign w:val="center"/>
          </w:tcPr>
          <w:p w14:paraId="301D6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Verified against official source</w:t>
            </w:r>
          </w:p>
        </w:tc>
      </w:tr>
      <w:tr w14:paraId="1A082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08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DF0F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Data Controls</w:t>
            </w:r>
          </w:p>
        </w:tc>
        <w:tc>
          <w:tcPr>
            <w:tcW w:w="0" w:type="auto"/>
            <w:shd w:val="clear"/>
            <w:vAlign w:val="center"/>
          </w:tcPr>
          <w:p w14:paraId="1E727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ChatGPT privacy settings</w:t>
            </w:r>
          </w:p>
        </w:tc>
        <w:tc>
          <w:tcPr>
            <w:tcW w:w="0" w:type="auto"/>
            <w:shd w:val="clear"/>
            <w:vAlign w:val="center"/>
          </w:tcPr>
          <w:p w14:paraId="365CD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Model-improvement settings affect how new conversations are used for training</w:t>
            </w:r>
          </w:p>
        </w:tc>
        <w:tc>
          <w:tcPr>
            <w:tcW w:w="0" w:type="auto"/>
            <w:shd w:val="clear"/>
            <w:vAlign w:val="center"/>
          </w:tcPr>
          <w:p w14:paraId="0695E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Verified against official source</w:t>
            </w:r>
          </w:p>
        </w:tc>
      </w:tr>
      <w:tr w14:paraId="6E0B1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E6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F564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Gemini Privacy Hub</w:t>
            </w:r>
          </w:p>
        </w:tc>
        <w:tc>
          <w:tcPr>
            <w:tcW w:w="0" w:type="auto"/>
            <w:shd w:val="clear"/>
            <w:vAlign w:val="center"/>
          </w:tcPr>
          <w:p w14:paraId="4FDEB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Gemini privacy settings</w:t>
            </w:r>
          </w:p>
        </w:tc>
        <w:tc>
          <w:tcPr>
            <w:tcW w:w="0" w:type="auto"/>
            <w:shd w:val="clear"/>
            <w:vAlign w:val="center"/>
          </w:tcPr>
          <w:p w14:paraId="21B50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Gemini documentation describes data handling, human review and privacy controls</w:t>
            </w:r>
          </w:p>
        </w:tc>
        <w:tc>
          <w:tcPr>
            <w:tcW w:w="0" w:type="auto"/>
            <w:shd w:val="clear"/>
            <w:vAlign w:val="center"/>
          </w:tcPr>
          <w:p w14:paraId="1524B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Verified against official source</w:t>
            </w:r>
          </w:p>
        </w:tc>
      </w:tr>
    </w:tbl>
    <w:p w14:paraId="16F177F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F212E"/>
    <w:multiLevelType w:val="multilevel"/>
    <w:tmpl w:val="BABF21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80CEEDB"/>
    <w:multiLevelType w:val="multilevel"/>
    <w:tmpl w:val="080CEE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5E3B03D"/>
    <w:multiLevelType w:val="multilevel"/>
    <w:tmpl w:val="35E3B0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55080BA"/>
    <w:multiLevelType w:val="multilevel"/>
    <w:tmpl w:val="455080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30E62"/>
    <w:rsid w:val="6AD3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2026-10-18T13:57:00Z</dcterms:created>
  <dc:creator>DELL</dc:creator>
  <cp:lastModifiedBy>DELL</cp:lastModifiedBy>
  <dcterms:modified xsi:type="dcterms:W3CDTF">2026-10-18T14:00:27Z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B2521BEEB95842A38AD0947F301D213D_11</vt:lpwstr>
  </property>
</Properties>
</file>