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77777777" w:rsidR="001D1914" w:rsidRDefault="001D1914" w:rsidP="001D1914">
      <w:pPr>
        <w:ind w:firstLine="360"/>
      </w:pPr>
      <w:r>
        <w:rPr>
          <w:b/>
          <w:bCs/>
          <w:sz w:val="28"/>
          <w:szCs w:val="28"/>
        </w:rPr>
        <w:t>T</w:t>
      </w:r>
      <w:r>
        <w:t>his</w:t>
      </w:r>
      <w:r>
        <w:rPr>
          <w:b/>
          <w:bCs/>
          <w:sz w:val="28"/>
          <w:szCs w:val="28"/>
        </w:rPr>
        <w:t xml:space="preserve"> </w:t>
      </w:r>
      <w:r>
        <w:t xml:space="preserve">iteration is a deep dive into the suicide dataset for knowing the reasons behind suicides around the world. Though, several studies related to this topic had been done in the past (example: - </w:t>
      </w:r>
      <w:hyperlink r:id="rId6" w:history="1">
        <w:r w:rsidRPr="00736CBB">
          <w:rPr>
            <w:rStyle w:val="Hyperlink"/>
          </w:rPr>
          <w:t>covid-19 time</w:t>
        </w:r>
      </w:hyperlink>
      <w:r>
        <w:rPr>
          <w:rStyle w:val="Hyperlink"/>
        </w:rPr>
        <w:t xml:space="preserve"> s</w:t>
      </w:r>
      <w:r w:rsidRPr="00BF2495">
        <w:rPr>
          <w:rStyle w:val="Hyperlink"/>
        </w:rPr>
        <w:t>uicide research</w:t>
      </w:r>
      <w:r>
        <w:t>). This study is going to make new findings useful for authorities to make policies that could reduce the mortality rate in the future. I will be looking at different aspects of suicide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531FB662"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8E2A90" w:rsidRPr="00AD58B4">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2A128DBF" w14:textId="3DAD4FA7" w:rsidR="00DD722E" w:rsidRPr="00CC66CE"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w:t>
      </w:r>
      <w:proofErr w:type="spellStart"/>
      <w:r w:rsidR="00D52BE5">
        <w:t>for</w:t>
      </w:r>
      <w:proofErr w:type="spellEnd"/>
      <w:r w:rsidR="00D52BE5">
        <w:t xml:space="preserve">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p>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6182D405"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8E2A90" w:rsidRPr="008E2A90">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180B4162" w14:textId="4F64E53B" w:rsidR="004B44DB"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8E2A90" w:rsidRPr="008E2A90">
            <w:rPr>
              <w:color w:val="000000"/>
            </w:rPr>
            <w:t>Brunello et al</w:t>
          </w:r>
        </w:sdtContent>
      </w:sdt>
      <w:r w:rsidR="00A825BB">
        <w:rPr>
          <w:color w:val="000000"/>
        </w:rPr>
        <w:t xml:space="preserve"> has successfully implemented them in their research which really inspired me to adapt the idea in suicide analysis.</w:t>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2D9E2B39" w:rsidR="00CA48E6" w:rsidRDefault="00CA48E6" w:rsidP="005F371F">
      <w:pPr>
        <w:rPr>
          <w:b/>
          <w:bCs/>
          <w:sz w:val="24"/>
          <w:szCs w:val="24"/>
        </w:rPr>
      </w:pP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0053DAE7"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4FFB184C" w14:textId="4F391A6E"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Server and Hosting </w:t>
      </w:r>
    </w:p>
    <w:p w14:paraId="5F6FDD83" w14:textId="48E92FED" w:rsidR="008A1341" w:rsidRDefault="004A6BD9" w:rsidP="009A3A86">
      <w:pPr>
        <w:jc w:val="both"/>
        <w:rPr>
          <w:color w:val="000000"/>
        </w:rPr>
      </w:pPr>
      <w:r>
        <w:t xml:space="preserve">Finally, </w:t>
      </w:r>
      <w:r w:rsidR="00F83701">
        <w:t>Server and hosting</w:t>
      </w:r>
    </w:p>
    <w:p w14:paraId="4DB8FC9A" w14:textId="6F545345" w:rsidR="004B44DB" w:rsidRDefault="004B44DB" w:rsidP="009A3A86">
      <w:pPr>
        <w:jc w:val="both"/>
        <w:rPr>
          <w:color w:val="000000"/>
        </w:rPr>
      </w:pPr>
    </w:p>
    <w:p w14:paraId="110B80AB" w14:textId="0153EAAE" w:rsidR="00191DBD" w:rsidRDefault="00191DBD" w:rsidP="009A3A86">
      <w:pPr>
        <w:jc w:val="both"/>
        <w:rPr>
          <w:color w:val="000000"/>
        </w:rPr>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3A617739" w:rsidR="0033448C" w:rsidRDefault="0033448C" w:rsidP="00191DBD">
      <w:pPr>
        <w:rPr>
          <w:b/>
          <w:bCs/>
          <w:sz w:val="24"/>
          <w:szCs w:val="24"/>
        </w:rPr>
      </w:pPr>
    </w:p>
    <w:p w14:paraId="48279C66" w14:textId="32A7D4F7" w:rsidR="0033448C" w:rsidRDefault="0033448C" w:rsidP="00191DBD">
      <w:pPr>
        <w:rPr>
          <w:b/>
          <w:bCs/>
          <w:sz w:val="24"/>
          <w:szCs w:val="24"/>
        </w:rPr>
      </w:pPr>
    </w:p>
    <w:p w14:paraId="397790D2" w14:textId="2079A278"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Applications used</w:t>
      </w:r>
    </w:p>
    <w:p w14:paraId="6BA1CE63" w14:textId="77777777" w:rsidR="0033448C" w:rsidRPr="005F371F" w:rsidRDefault="0033448C" w:rsidP="00191DBD">
      <w:pPr>
        <w:rPr>
          <w:b/>
          <w:bCs/>
          <w:sz w:val="24"/>
          <w:szCs w:val="24"/>
        </w:rPr>
      </w:pPr>
    </w:p>
    <w:p w14:paraId="0B5EBE6D" w14:textId="77777777" w:rsidR="00191DBD" w:rsidRDefault="00191DBD" w:rsidP="009A3A86">
      <w:pPr>
        <w:jc w:val="both"/>
        <w:rPr>
          <w:color w:val="000000"/>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312A0793"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8E2A90" w:rsidRPr="008E2A90">
            <w:rPr>
              <w:rFonts w:ascii="Calibri" w:hAnsi="Calibri" w:cs="Calibri"/>
              <w:color w:val="000000"/>
              <w:sz w:val="23"/>
              <w:szCs w:val="23"/>
            </w:rPr>
            <w:t>(</w:t>
          </w:r>
          <w:proofErr w:type="spellStart"/>
          <w:r w:rsidR="008E2A90" w:rsidRPr="008E2A90">
            <w:rPr>
              <w:rFonts w:ascii="Calibri" w:hAnsi="Calibri" w:cs="Calibri"/>
              <w:color w:val="000000"/>
              <w:sz w:val="23"/>
              <w:szCs w:val="23"/>
            </w:rPr>
            <w:t>Bogod</w:t>
          </w:r>
          <w:proofErr w:type="spellEnd"/>
          <w:r w:rsidR="008E2A90" w:rsidRPr="008E2A90">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w:t>
      </w:r>
      <w:r>
        <w:rPr>
          <w:rFonts w:ascii="Calibri" w:hAnsi="Calibri" w:cs="Calibri"/>
          <w:color w:val="000000"/>
          <w:sz w:val="23"/>
          <w:szCs w:val="23"/>
        </w:rPr>
        <w:lastRenderedPageBreak/>
        <w:t>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I </w:t>
      </w:r>
      <w:proofErr w:type="gramStart"/>
      <w:r>
        <w:rPr>
          <w:rFonts w:ascii="Calibri" w:hAnsi="Calibri" w:cs="Calibri"/>
          <w:color w:val="000000"/>
          <w:sz w:val="23"/>
          <w:szCs w:val="23"/>
        </w:rPr>
        <w:t>comes</w:t>
      </w:r>
      <w:proofErr w:type="gramEnd"/>
      <w:r>
        <w:rPr>
          <w:rFonts w:ascii="Calibri" w:hAnsi="Calibri" w:cs="Calibri"/>
          <w:color w:val="000000"/>
          <w:sz w:val="23"/>
          <w:szCs w:val="23"/>
        </w:rPr>
        <w:t xml:space="preserve"> to storing individual information in future, more storage space might be required as well as my model could perform poor because of the server requirements. Even though we have other options to </w:t>
      </w:r>
      <w:proofErr w:type="spellStart"/>
      <w:r>
        <w:rPr>
          <w:rFonts w:ascii="Calibri" w:hAnsi="Calibri" w:cs="Calibri"/>
          <w:color w:val="000000"/>
          <w:sz w:val="23"/>
          <w:szCs w:val="23"/>
        </w:rPr>
        <w:t>by</w:t>
      </w:r>
      <w:proofErr w:type="spellEnd"/>
      <w:r>
        <w:rPr>
          <w:rFonts w:ascii="Calibri" w:hAnsi="Calibri" w:cs="Calibri"/>
          <w:color w:val="000000"/>
          <w:sz w:val="23"/>
          <w:szCs w:val="23"/>
        </w:rPr>
        <w:t xml:space="preserve"> clod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70389C99"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8E2A90" w:rsidRPr="008E2A90">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3A2F49D3"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8E2A90" w:rsidRPr="008E2A90">
            <w:rPr>
              <w:color w:val="000000"/>
            </w:rPr>
            <w:t>(</w:t>
          </w:r>
          <w:proofErr w:type="spellStart"/>
          <w:r w:rsidR="008E2A90" w:rsidRPr="008E2A90">
            <w:rPr>
              <w:color w:val="000000"/>
            </w:rPr>
            <w:t>Włodarczyk</w:t>
          </w:r>
          <w:proofErr w:type="spellEnd"/>
          <w:r w:rsidR="008E2A90" w:rsidRPr="008E2A90">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2E002CB9"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8E2A90" w:rsidRPr="008E2A90">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8E2A90" w:rsidRPr="008E2A90">
            <w:rPr>
              <w:color w:val="000000"/>
            </w:rPr>
            <w:t>(</w:t>
          </w:r>
          <w:proofErr w:type="spellStart"/>
          <w:r w:rsidR="008E2A90" w:rsidRPr="008E2A90">
            <w:rPr>
              <w:color w:val="000000"/>
            </w:rPr>
            <w:t>Airiti</w:t>
          </w:r>
          <w:proofErr w:type="spellEnd"/>
          <w:r w:rsidR="008E2A90" w:rsidRPr="008E2A90">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1FC9C26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8E2A90" w:rsidRPr="008E2A90">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w:t>
      </w:r>
      <w:r w:rsidR="00394F5D" w:rsidRPr="00394F5D">
        <w:rPr>
          <w:color w:val="000000"/>
        </w:rPr>
        <w:lastRenderedPageBreak/>
        <w:t xml:space="preserve">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8E2A90" w:rsidRPr="008E2A90">
            <w:rPr>
              <w:color w:val="000000"/>
            </w:rPr>
            <w:t xml:space="preserve">(Cortes and </w:t>
          </w:r>
          <w:proofErr w:type="spellStart"/>
          <w:r w:rsidR="008E2A90" w:rsidRPr="008E2A90">
            <w:rPr>
              <w:color w:val="000000"/>
            </w:rPr>
            <w:t>Vapnik</w:t>
          </w:r>
          <w:proofErr w:type="spellEnd"/>
          <w:r w:rsidR="008E2A90" w:rsidRPr="008E2A90">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4F38FA68"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8E2A90" w:rsidRPr="008E2A90">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1F84D6CF"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8E2A90" w:rsidRPr="008E2A90">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48CFFF5F" w14:textId="77777777" w:rsidR="008E2A90" w:rsidRDefault="008E2A90">
              <w:pPr>
                <w:divId w:val="1177646840"/>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6E84B30E" w14:textId="77777777" w:rsidR="008E2A90" w:rsidRDefault="008E2A90">
              <w:pPr>
                <w:divId w:val="696663940"/>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3D60E3A" w14:textId="77777777" w:rsidR="008E2A90" w:rsidRDefault="008E2A90">
              <w:pPr>
                <w:divId w:val="941382491"/>
                <w:rPr>
                  <w:rFonts w:eastAsia="Times New Roman"/>
                </w:rPr>
              </w:pPr>
              <w:proofErr w:type="spellStart"/>
              <w:r>
                <w:rPr>
                  <w:rFonts w:eastAsia="Times New Roman"/>
                </w:rPr>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p>
            <w:p w14:paraId="75ECC7DE" w14:textId="77777777" w:rsidR="008E2A90" w:rsidRDefault="008E2A90">
              <w:pPr>
                <w:divId w:val="1401560930"/>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17BC9925" w14:textId="77777777" w:rsidR="008E2A90" w:rsidRDefault="008E2A90">
              <w:pPr>
                <w:divId w:val="149323626"/>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394BDFE8" w14:textId="77777777" w:rsidR="008E2A90" w:rsidRDefault="008E2A90">
              <w:pPr>
                <w:divId w:val="583420353"/>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2ED99B5A" w14:textId="77777777" w:rsidR="008E2A90" w:rsidRDefault="008E2A90">
              <w:pPr>
                <w:divId w:val="213125467"/>
                <w:rPr>
                  <w:rFonts w:eastAsia="Times New Roman"/>
                </w:rPr>
              </w:pPr>
              <w:r>
                <w:rPr>
                  <w:rFonts w:eastAsia="Times New Roman"/>
                </w:rPr>
                <w:lastRenderedPageBreak/>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6D299DE4" w14:textId="77777777" w:rsidR="008E2A90" w:rsidRDefault="008E2A90">
              <w:pPr>
                <w:divId w:val="6904448"/>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709B17A1" w14:textId="77777777" w:rsidR="008E2A90" w:rsidRDefault="008E2A90">
              <w:pPr>
                <w:divId w:val="248320508"/>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08E67999" w14:textId="77777777" w:rsidR="008E2A90" w:rsidRDefault="008E2A90">
              <w:pPr>
                <w:divId w:val="1871452531"/>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0CD38AAC" w14:textId="77777777" w:rsidR="008E2A90" w:rsidRDefault="008E2A90">
              <w:pPr>
                <w:divId w:val="1600791846"/>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2A7BA2C8" w14:textId="77777777" w:rsidR="008E2A90" w:rsidRDefault="008E2A90">
              <w:pPr>
                <w:divId w:val="831679314"/>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64209245" w:rsidR="00DA5B80" w:rsidRDefault="008E2A90" w:rsidP="00413192">
              <w:pPr>
                <w:jc w:val="both"/>
              </w:pPr>
              <w:r>
                <w:rPr>
                  <w:rFonts w:eastAsia="Times New Roman"/>
                </w:rPr>
                <w:t> </w:t>
              </w:r>
            </w:p>
          </w:sdtContent>
        </w:sdt>
        <w:p w14:paraId="1C465C55" w14:textId="3F506018" w:rsidR="00DA5B80" w:rsidRDefault="007619EA"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C1E52"/>
    <w:rsid w:val="000F789D"/>
    <w:rsid w:val="00191DBD"/>
    <w:rsid w:val="001A14BC"/>
    <w:rsid w:val="001B3949"/>
    <w:rsid w:val="001B3C3A"/>
    <w:rsid w:val="001D1914"/>
    <w:rsid w:val="002A1F03"/>
    <w:rsid w:val="002E29FB"/>
    <w:rsid w:val="002F00AF"/>
    <w:rsid w:val="002F79F8"/>
    <w:rsid w:val="00325CC3"/>
    <w:rsid w:val="0033448C"/>
    <w:rsid w:val="00362CEC"/>
    <w:rsid w:val="00366A43"/>
    <w:rsid w:val="00394F5D"/>
    <w:rsid w:val="003E180F"/>
    <w:rsid w:val="004002AE"/>
    <w:rsid w:val="00401ADB"/>
    <w:rsid w:val="0041093B"/>
    <w:rsid w:val="00413192"/>
    <w:rsid w:val="00413C4C"/>
    <w:rsid w:val="00437ABE"/>
    <w:rsid w:val="00437E07"/>
    <w:rsid w:val="00480DAE"/>
    <w:rsid w:val="00494DA7"/>
    <w:rsid w:val="004A6BD9"/>
    <w:rsid w:val="004B44DB"/>
    <w:rsid w:val="004E0B8D"/>
    <w:rsid w:val="005063E5"/>
    <w:rsid w:val="0053628C"/>
    <w:rsid w:val="00564A8A"/>
    <w:rsid w:val="005E5801"/>
    <w:rsid w:val="005E5B77"/>
    <w:rsid w:val="005F371F"/>
    <w:rsid w:val="00605E33"/>
    <w:rsid w:val="00651824"/>
    <w:rsid w:val="00654189"/>
    <w:rsid w:val="00654BDA"/>
    <w:rsid w:val="00676E8B"/>
    <w:rsid w:val="006809DE"/>
    <w:rsid w:val="006977B0"/>
    <w:rsid w:val="006A13E8"/>
    <w:rsid w:val="006D7928"/>
    <w:rsid w:val="00703BB1"/>
    <w:rsid w:val="00731BEE"/>
    <w:rsid w:val="007619EA"/>
    <w:rsid w:val="00780D12"/>
    <w:rsid w:val="00784D24"/>
    <w:rsid w:val="00795BD6"/>
    <w:rsid w:val="007D43F8"/>
    <w:rsid w:val="0082286A"/>
    <w:rsid w:val="008353F5"/>
    <w:rsid w:val="00873DBB"/>
    <w:rsid w:val="00882352"/>
    <w:rsid w:val="008A1341"/>
    <w:rsid w:val="008A3B6A"/>
    <w:rsid w:val="008C6534"/>
    <w:rsid w:val="008E2A90"/>
    <w:rsid w:val="0092750D"/>
    <w:rsid w:val="009443AC"/>
    <w:rsid w:val="00947EE6"/>
    <w:rsid w:val="00974E47"/>
    <w:rsid w:val="00995A56"/>
    <w:rsid w:val="009A3A86"/>
    <w:rsid w:val="00A825BB"/>
    <w:rsid w:val="00AB04C0"/>
    <w:rsid w:val="00AD58B4"/>
    <w:rsid w:val="00B41E72"/>
    <w:rsid w:val="00B669AA"/>
    <w:rsid w:val="00B76B1A"/>
    <w:rsid w:val="00B87367"/>
    <w:rsid w:val="00BC2581"/>
    <w:rsid w:val="00C15E30"/>
    <w:rsid w:val="00C42BC3"/>
    <w:rsid w:val="00CA48E6"/>
    <w:rsid w:val="00CA65CA"/>
    <w:rsid w:val="00CB4BCB"/>
    <w:rsid w:val="00CC66CE"/>
    <w:rsid w:val="00CE16A5"/>
    <w:rsid w:val="00CF1C6D"/>
    <w:rsid w:val="00CF696F"/>
    <w:rsid w:val="00D459EC"/>
    <w:rsid w:val="00D52BE5"/>
    <w:rsid w:val="00D73068"/>
    <w:rsid w:val="00D8249A"/>
    <w:rsid w:val="00DA06B8"/>
    <w:rsid w:val="00DA30AE"/>
    <w:rsid w:val="00DA5B80"/>
    <w:rsid w:val="00DC12EF"/>
    <w:rsid w:val="00DD6D67"/>
    <w:rsid w:val="00DD722E"/>
    <w:rsid w:val="00DF0311"/>
    <w:rsid w:val="00E20445"/>
    <w:rsid w:val="00E52FFE"/>
    <w:rsid w:val="00E60B5D"/>
    <w:rsid w:val="00E67116"/>
    <w:rsid w:val="00E96814"/>
    <w:rsid w:val="00EB64B7"/>
    <w:rsid w:val="00F00D66"/>
    <w:rsid w:val="00F709B3"/>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1000research.com/articles/9-1097/v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434EF2"/>
    <w:rsid w:val="00592FE3"/>
    <w:rsid w:val="00757EDA"/>
    <w:rsid w:val="008B2E28"/>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7</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92</cp:revision>
  <dcterms:created xsi:type="dcterms:W3CDTF">2022-04-06T21:43:00Z</dcterms:created>
  <dcterms:modified xsi:type="dcterms:W3CDTF">2022-06-07T10:10:00Z</dcterms:modified>
</cp:coreProperties>
</file>