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6121E" w:rsidRPr="0026121E" w:rsidRDefault="0026121E" w:rsidP="0026121E">
      <w:pPr>
        <w:spacing w:before="100" w:beforeAutospacing="1" w:after="100" w:afterAutospacing="1" w:line="240" w:lineRule="auto"/>
        <w:jc w:val="center"/>
        <w:outlineLvl w:val="1"/>
        <w:rPr>
          <w:rFonts w:ascii="Arial" w:hAnsi="Arial" w:cs="Arial"/>
          <w:b/>
          <w:color w:val="222222"/>
          <w:sz w:val="32"/>
          <w:szCs w:val="32"/>
          <w:shd w:val="clear" w:color="auto" w:fill="FFFFFF"/>
        </w:rPr>
      </w:pPr>
      <w:r w:rsidRPr="0026121E">
        <w:rPr>
          <w:rFonts w:ascii="Arial" w:hAnsi="Arial" w:cs="Arial"/>
          <w:b/>
          <w:color w:val="222222"/>
          <w:sz w:val="32"/>
          <w:szCs w:val="32"/>
          <w:shd w:val="clear" w:color="auto" w:fill="FFFFFF"/>
        </w:rPr>
        <w:t>Learn the security architecture of Kubernetes clusters.</w:t>
      </w:r>
    </w:p>
    <w:p w:rsidR="0026121E" w:rsidRPr="0026121E" w:rsidRDefault="0026121E" w:rsidP="0026121E">
      <w:pPr>
        <w:spacing w:before="100" w:beforeAutospacing="1" w:after="100" w:afterAutospacing="1" w:line="240" w:lineRule="auto"/>
        <w:outlineLvl w:val="1"/>
        <w:rPr>
          <w:rFonts w:ascii="Times New Roman" w:eastAsia="Times New Roman" w:hAnsi="Times New Roman" w:cs="Times New Roman"/>
          <w:b/>
          <w:bCs/>
          <w:sz w:val="24"/>
          <w:szCs w:val="24"/>
        </w:rPr>
      </w:pPr>
      <w:r w:rsidRPr="0026121E">
        <w:rPr>
          <w:rFonts w:ascii="Times New Roman" w:eastAsia="Times New Roman" w:hAnsi="Times New Roman" w:cs="Times New Roman"/>
          <w:b/>
          <w:bCs/>
          <w:sz w:val="24"/>
          <w:szCs w:val="24"/>
        </w:rPr>
        <w:t>1. Objective:</w:t>
      </w:r>
    </w:p>
    <w:p w:rsidR="0026121E" w:rsidRPr="0026121E" w:rsidRDefault="0026121E" w:rsidP="0026121E">
      <w:pPr>
        <w:spacing w:before="100" w:beforeAutospacing="1" w:after="100" w:afterAutospacing="1" w:line="240" w:lineRule="auto"/>
        <w:rPr>
          <w:rFonts w:ascii="Times New Roman" w:eastAsia="Times New Roman" w:hAnsi="Times New Roman" w:cs="Times New Roman"/>
        </w:rPr>
      </w:pPr>
      <w:r w:rsidRPr="0026121E">
        <w:rPr>
          <w:rFonts w:ascii="Times New Roman" w:eastAsia="Times New Roman" w:hAnsi="Times New Roman" w:cs="Times New Roman"/>
        </w:rPr>
        <w:t>To analyze, define, and document the core architectural components and defense-in-depth principles of Kubernetes cluster security—focusing on control plane isolation, Role-Based Access Control (RBAC), network micro-segmentation, and Pod Security Standards (PSS) to protect containerized workloads against unauthorized access, cluster compromise, and privilege escalation.</w:t>
      </w:r>
    </w:p>
    <w:p w:rsidR="0026121E" w:rsidRPr="0026121E" w:rsidRDefault="0026121E" w:rsidP="0026121E">
      <w:pPr>
        <w:pStyle w:val="Heading2"/>
        <w:rPr>
          <w:sz w:val="24"/>
          <w:szCs w:val="24"/>
        </w:rPr>
      </w:pPr>
      <w:r w:rsidRPr="0026121E">
        <w:rPr>
          <w:sz w:val="24"/>
          <w:szCs w:val="24"/>
        </w:rPr>
        <w:t>1. Introduction:</w:t>
      </w:r>
    </w:p>
    <w:p w:rsidR="0026121E" w:rsidRPr="0026121E" w:rsidRDefault="0026121E" w:rsidP="0026121E">
      <w:pPr>
        <w:pStyle w:val="NormalWeb"/>
        <w:rPr>
          <w:sz w:val="22"/>
          <w:szCs w:val="22"/>
        </w:rPr>
      </w:pPr>
      <w:r w:rsidRPr="0026121E">
        <w:rPr>
          <w:sz w:val="22"/>
          <w:szCs w:val="22"/>
        </w:rPr>
        <w:t xml:space="preserve">Kubernetes (K8s) serves as the orchestration layer for containerized microservices. As clusters scale, securing the control plane, worker nodes, and containerized workloads becomes critical to prevent cluster takeover, lateral movement, and unauthorized access to cloud resources.Kubernetes security architecture is structured around the </w:t>
      </w:r>
      <w:r w:rsidRPr="0026121E">
        <w:rPr>
          <w:b/>
          <w:bCs/>
          <w:sz w:val="22"/>
          <w:szCs w:val="22"/>
        </w:rPr>
        <w:t>"4Cs of Cloud-Native Security"</w:t>
      </w:r>
      <w:r w:rsidRPr="0026121E">
        <w:rPr>
          <w:sz w:val="22"/>
          <w:szCs w:val="22"/>
        </w:rPr>
        <w:t>: Cloud, Cluster, Container, and Code. Security controls must be enforced across all four layers to build a defense-in-depth posture</w:t>
      </w:r>
      <w:r w:rsidRPr="0026121E">
        <w:t>.</w:t>
      </w:r>
    </w:p>
    <w:p w:rsidR="0026121E" w:rsidRPr="0026121E" w:rsidRDefault="0026121E" w:rsidP="0026121E">
      <w:pPr>
        <w:pStyle w:val="Heading2"/>
        <w:rPr>
          <w:sz w:val="24"/>
          <w:szCs w:val="24"/>
        </w:rPr>
      </w:pPr>
      <w:r w:rsidRPr="0026121E">
        <w:rPr>
          <w:sz w:val="24"/>
          <w:szCs w:val="24"/>
        </w:rPr>
        <w:t>2. Tools and Concepts Covered:</w:t>
      </w:r>
    </w:p>
    <w:p w:rsidR="0026121E" w:rsidRPr="0026121E" w:rsidRDefault="0026121E" w:rsidP="0026121E">
      <w:pPr>
        <w:pStyle w:val="NormalWeb"/>
        <w:numPr>
          <w:ilvl w:val="0"/>
          <w:numId w:val="1"/>
        </w:numPr>
        <w:rPr>
          <w:sz w:val="22"/>
          <w:szCs w:val="22"/>
        </w:rPr>
      </w:pPr>
      <w:r w:rsidRPr="0026121E">
        <w:rPr>
          <w:b/>
          <w:bCs/>
          <w:sz w:val="22"/>
          <w:szCs w:val="22"/>
        </w:rPr>
        <w:t>The 4Cs Security Model:</w:t>
      </w:r>
      <w:r w:rsidRPr="0026121E">
        <w:rPr>
          <w:sz w:val="22"/>
          <w:szCs w:val="22"/>
        </w:rPr>
        <w:t xml:space="preserve"> Defense-in-depth framework across Cloud, Cluster, Container, and Code layers.</w:t>
      </w:r>
    </w:p>
    <w:p w:rsidR="0026121E" w:rsidRPr="0026121E" w:rsidRDefault="0026121E" w:rsidP="0026121E">
      <w:pPr>
        <w:pStyle w:val="NormalWeb"/>
        <w:numPr>
          <w:ilvl w:val="0"/>
          <w:numId w:val="1"/>
        </w:numPr>
        <w:rPr>
          <w:sz w:val="22"/>
          <w:szCs w:val="22"/>
        </w:rPr>
      </w:pPr>
      <w:r w:rsidRPr="0026121E">
        <w:rPr>
          <w:b/>
          <w:bCs/>
          <w:sz w:val="22"/>
          <w:szCs w:val="22"/>
        </w:rPr>
        <w:t>Control Plane Isolation:</w:t>
      </w:r>
      <w:r w:rsidRPr="0026121E">
        <w:rPr>
          <w:sz w:val="22"/>
          <w:szCs w:val="22"/>
        </w:rPr>
        <w:t xml:space="preserve"> Securing </w:t>
      </w:r>
      <w:r w:rsidRPr="0026121E">
        <w:rPr>
          <w:rStyle w:val="HTMLCode"/>
          <w:sz w:val="22"/>
          <w:szCs w:val="22"/>
        </w:rPr>
        <w:t>kube-apiserver</w:t>
      </w:r>
      <w:r w:rsidRPr="0026121E">
        <w:rPr>
          <w:sz w:val="22"/>
          <w:szCs w:val="22"/>
        </w:rPr>
        <w:t xml:space="preserve">, </w:t>
      </w:r>
      <w:r w:rsidRPr="0026121E">
        <w:rPr>
          <w:rStyle w:val="HTMLCode"/>
          <w:sz w:val="22"/>
          <w:szCs w:val="22"/>
        </w:rPr>
        <w:t>etcd</w:t>
      </w:r>
      <w:r w:rsidRPr="0026121E">
        <w:rPr>
          <w:sz w:val="22"/>
          <w:szCs w:val="22"/>
        </w:rPr>
        <w:t xml:space="preserve">, </w:t>
      </w:r>
      <w:r w:rsidRPr="0026121E">
        <w:rPr>
          <w:rStyle w:val="HTMLCode"/>
          <w:sz w:val="22"/>
          <w:szCs w:val="22"/>
        </w:rPr>
        <w:t>kube-scheduler</w:t>
      </w:r>
      <w:r w:rsidRPr="0026121E">
        <w:rPr>
          <w:sz w:val="22"/>
          <w:szCs w:val="22"/>
        </w:rPr>
        <w:t xml:space="preserve">, and </w:t>
      </w:r>
      <w:r w:rsidRPr="0026121E">
        <w:rPr>
          <w:rStyle w:val="HTMLCode"/>
          <w:sz w:val="22"/>
          <w:szCs w:val="22"/>
        </w:rPr>
        <w:t>kube-controller-manager</w:t>
      </w:r>
      <w:r w:rsidRPr="0026121E">
        <w:rPr>
          <w:sz w:val="22"/>
          <w:szCs w:val="22"/>
        </w:rPr>
        <w:t>.</w:t>
      </w:r>
    </w:p>
    <w:p w:rsidR="0026121E" w:rsidRPr="0026121E" w:rsidRDefault="0026121E" w:rsidP="0026121E">
      <w:pPr>
        <w:pStyle w:val="NormalWeb"/>
        <w:numPr>
          <w:ilvl w:val="0"/>
          <w:numId w:val="1"/>
        </w:numPr>
        <w:rPr>
          <w:sz w:val="22"/>
          <w:szCs w:val="22"/>
        </w:rPr>
      </w:pPr>
      <w:r w:rsidRPr="0026121E">
        <w:rPr>
          <w:b/>
          <w:bCs/>
          <w:sz w:val="22"/>
          <w:szCs w:val="22"/>
        </w:rPr>
        <w:t>RBAC &amp; Authentication:</w:t>
      </w:r>
      <w:r w:rsidRPr="0026121E">
        <w:rPr>
          <w:sz w:val="22"/>
          <w:szCs w:val="22"/>
        </w:rPr>
        <w:t xml:space="preserve"> Enforcing Role-Based Access Control (Role, ClusterRole, RoleBinding, ClusterRoleBinding) following least privilege.</w:t>
      </w:r>
    </w:p>
    <w:p w:rsidR="0026121E" w:rsidRPr="0026121E" w:rsidRDefault="0026121E" w:rsidP="0026121E">
      <w:pPr>
        <w:pStyle w:val="NormalWeb"/>
        <w:numPr>
          <w:ilvl w:val="0"/>
          <w:numId w:val="1"/>
        </w:numPr>
        <w:rPr>
          <w:sz w:val="22"/>
          <w:szCs w:val="22"/>
        </w:rPr>
      </w:pPr>
      <w:r w:rsidRPr="0026121E">
        <w:rPr>
          <w:b/>
          <w:bCs/>
          <w:sz w:val="22"/>
          <w:szCs w:val="22"/>
        </w:rPr>
        <w:t>Network Policies:</w:t>
      </w:r>
      <w:r w:rsidRPr="0026121E">
        <w:rPr>
          <w:sz w:val="22"/>
          <w:szCs w:val="22"/>
        </w:rPr>
        <w:t xml:space="preserve"> Defining ingress/egress firewall rules at the Pod network layer (Layer 3/4 network isolation).</w:t>
      </w:r>
    </w:p>
    <w:p w:rsidR="0026121E" w:rsidRPr="0026121E" w:rsidRDefault="0026121E" w:rsidP="0026121E">
      <w:pPr>
        <w:pStyle w:val="NormalWeb"/>
        <w:numPr>
          <w:ilvl w:val="0"/>
          <w:numId w:val="1"/>
        </w:numPr>
        <w:rPr>
          <w:sz w:val="22"/>
          <w:szCs w:val="22"/>
        </w:rPr>
      </w:pPr>
      <w:r w:rsidRPr="0026121E">
        <w:rPr>
          <w:b/>
          <w:bCs/>
          <w:sz w:val="22"/>
          <w:szCs w:val="22"/>
        </w:rPr>
        <w:t>Admission Control &amp; Governance:</w:t>
      </w:r>
      <w:r w:rsidRPr="0026121E">
        <w:rPr>
          <w:sz w:val="22"/>
          <w:szCs w:val="22"/>
        </w:rPr>
        <w:t xml:space="preserve"> Validating and mutating webhooks (OPA/Gatekeeper, Kyverno) to enforce security policies at pod creation.</w:t>
      </w:r>
    </w:p>
    <w:p w:rsidR="0026121E" w:rsidRPr="0026121E" w:rsidRDefault="0026121E" w:rsidP="0026121E">
      <w:pPr>
        <w:spacing w:before="100" w:beforeAutospacing="1" w:after="100" w:afterAutospacing="1" w:line="240" w:lineRule="auto"/>
        <w:outlineLvl w:val="1"/>
        <w:rPr>
          <w:rFonts w:ascii="Times New Roman" w:eastAsia="Times New Roman" w:hAnsi="Times New Roman" w:cs="Times New Roman"/>
          <w:b/>
          <w:bCs/>
          <w:sz w:val="24"/>
          <w:szCs w:val="24"/>
        </w:rPr>
      </w:pPr>
      <w:r w:rsidRPr="0026121E">
        <w:rPr>
          <w:rFonts w:ascii="Times New Roman" w:eastAsia="Times New Roman" w:hAnsi="Times New Roman" w:cs="Times New Roman"/>
          <w:b/>
          <w:bCs/>
          <w:sz w:val="24"/>
          <w:szCs w:val="24"/>
        </w:rPr>
        <w:t>5. Conclusion:</w:t>
      </w:r>
    </w:p>
    <w:p w:rsidR="0026121E" w:rsidRPr="0026121E" w:rsidRDefault="0026121E" w:rsidP="0026121E">
      <w:pPr>
        <w:spacing w:before="100" w:beforeAutospacing="1" w:after="100" w:afterAutospacing="1" w:line="240" w:lineRule="auto"/>
        <w:rPr>
          <w:rFonts w:ascii="Times New Roman" w:eastAsia="Times New Roman" w:hAnsi="Times New Roman" w:cs="Times New Roman"/>
        </w:rPr>
      </w:pPr>
      <w:r w:rsidRPr="0026121E">
        <w:rPr>
          <w:rFonts w:ascii="Times New Roman" w:eastAsia="Times New Roman" w:hAnsi="Times New Roman" w:cs="Times New Roman"/>
        </w:rPr>
        <w:t xml:space="preserve">Understanding and implementing Kubernetes security architecture is essential for protecting cloud-native workloads operating at scale. By applying defense-in-depth across the 4Cs model (Cloud, Cluster, Container, Code), hardening control plane components like </w:t>
      </w:r>
      <w:r w:rsidRPr="0026121E">
        <w:rPr>
          <w:rFonts w:ascii="Courier New" w:eastAsia="Times New Roman" w:hAnsi="Courier New" w:cs="Courier New"/>
        </w:rPr>
        <w:t>kube-apiserver</w:t>
      </w:r>
      <w:r w:rsidRPr="0026121E">
        <w:rPr>
          <w:rFonts w:ascii="Times New Roman" w:eastAsia="Times New Roman" w:hAnsi="Times New Roman" w:cs="Times New Roman"/>
        </w:rPr>
        <w:t xml:space="preserve"> and </w:t>
      </w:r>
      <w:r w:rsidRPr="0026121E">
        <w:rPr>
          <w:rFonts w:ascii="Courier New" w:eastAsia="Times New Roman" w:hAnsi="Courier New" w:cs="Courier New"/>
        </w:rPr>
        <w:t>etcd</w:t>
      </w:r>
      <w:r w:rsidRPr="0026121E">
        <w:rPr>
          <w:rFonts w:ascii="Times New Roman" w:eastAsia="Times New Roman" w:hAnsi="Times New Roman" w:cs="Times New Roman"/>
        </w:rPr>
        <w:t xml:space="preserve">, enforcing strict RBAC least-privilege policies, and isolating pod communications via </w:t>
      </w:r>
      <w:r w:rsidRPr="0026121E">
        <w:rPr>
          <w:rFonts w:ascii="Courier New" w:eastAsia="Times New Roman" w:hAnsi="Courier New" w:cs="Courier New"/>
        </w:rPr>
        <w:t>NetworkPolicy</w:t>
      </w:r>
      <w:r w:rsidRPr="0026121E">
        <w:rPr>
          <w:rFonts w:ascii="Times New Roman" w:eastAsia="Times New Roman" w:hAnsi="Times New Roman" w:cs="Times New Roman"/>
        </w:rPr>
        <w:t xml:space="preserve"> resources, organizations can effectively reduce their attack surface, mitigate container breakout risks, and maintain a robust Cloud Workload Protection Platform (CWPP) security posture.</w:t>
      </w:r>
    </w:p>
    <w:p w:rsidR="0063443D" w:rsidRPr="0026121E" w:rsidRDefault="0026121E"/>
    <w:sectPr w:rsidR="0063443D" w:rsidRPr="0026121E" w:rsidSect="005D558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11B3FFB"/>
    <w:multiLevelType w:val="multilevel"/>
    <w:tmpl w:val="198A3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grammar="clean"/>
  <w:defaultTabStop w:val="720"/>
  <w:characterSpacingControl w:val="doNotCompress"/>
  <w:compat/>
  <w:rsids>
    <w:rsidRoot w:val="0026121E"/>
    <w:rsid w:val="00134947"/>
    <w:rsid w:val="0026121E"/>
    <w:rsid w:val="005D558C"/>
    <w:rsid w:val="009C304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D558C"/>
  </w:style>
  <w:style w:type="paragraph" w:styleId="Heading2">
    <w:name w:val="heading 2"/>
    <w:basedOn w:val="Normal"/>
    <w:link w:val="Heading2Char"/>
    <w:uiPriority w:val="9"/>
    <w:qFormat/>
    <w:rsid w:val="0026121E"/>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6121E"/>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26121E"/>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6121E"/>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103115636">
      <w:bodyDiv w:val="1"/>
      <w:marLeft w:val="0"/>
      <w:marRight w:val="0"/>
      <w:marTop w:val="0"/>
      <w:marBottom w:val="0"/>
      <w:divBdr>
        <w:top w:val="none" w:sz="0" w:space="0" w:color="auto"/>
        <w:left w:val="none" w:sz="0" w:space="0" w:color="auto"/>
        <w:bottom w:val="none" w:sz="0" w:space="0" w:color="auto"/>
        <w:right w:val="none" w:sz="0" w:space="0" w:color="auto"/>
      </w:divBdr>
    </w:div>
    <w:div w:id="958679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324</Words>
  <Characters>1847</Characters>
  <Application>Microsoft Office Word</Application>
  <DocSecurity>0</DocSecurity>
  <Lines>15</Lines>
  <Paragraphs>4</Paragraphs>
  <ScaleCrop>false</ScaleCrop>
  <Company/>
  <LinksUpToDate>false</LinksUpToDate>
  <CharactersWithSpaces>2167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SUJAY</dc:creator>
  <cp:lastModifiedBy>SUJAY</cp:lastModifiedBy>
  <cp:revision>1</cp:revision>
  <dcterms:created xsi:type="dcterms:W3CDTF">2026-09-29T07:15:00Z</dcterms:created>
  <dcterms:modified xsi:type="dcterms:W3CDTF">2026-09-29T07:16:00Z</dcterms:modified>
</cp:coreProperties>
</file>