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1E" w:rsidRDefault="00A13F1E" w:rsidP="00A13F1E">
      <w:pPr>
        <w:jc w:val="center"/>
        <w:rPr>
          <w:rFonts w:ascii="Times New Roman" w:hAnsi="Times New Roman" w:cs="Times New Roman"/>
          <w:b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  <w:b/>
        </w:rPr>
      </w:pPr>
      <w:r w:rsidRPr="00655268">
        <w:rPr>
          <w:rFonts w:ascii="Times New Roman" w:hAnsi="Times New Roman" w:cs="Times New Roman"/>
          <w:b/>
        </w:rPr>
        <w:t>CENTRAL BANK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  <w:b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  <w:b/>
        </w:rPr>
      </w:pPr>
      <w:r w:rsidRPr="0065526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bidi="ml-IN"/>
        </w:rPr>
        <w:drawing>
          <wp:inline distT="0" distB="0" distL="0" distR="0">
            <wp:extent cx="5056189" cy="37147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84" cy="38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pStyle w:val="ListParagraph"/>
        <w:widowControl w:val="0"/>
        <w:numPr>
          <w:ilvl w:val="0"/>
          <w:numId w:val="1"/>
        </w:numPr>
        <w:tabs>
          <w:tab w:val="left" w:pos="1661"/>
        </w:tabs>
        <w:autoSpaceDE w:val="0"/>
        <w:autoSpaceDN w:val="0"/>
        <w:spacing w:before="100" w:after="0" w:line="355" w:lineRule="auto"/>
        <w:ind w:right="377"/>
        <w:jc w:val="both"/>
        <w:rPr>
          <w:rFonts w:ascii="Times New Roman" w:hAnsi="Times New Roman" w:cs="Times New Roman"/>
          <w:sz w:val="24"/>
        </w:rPr>
      </w:pPr>
      <w:r w:rsidRPr="00655268">
        <w:rPr>
          <w:rFonts w:ascii="Times New Roman" w:hAnsi="Times New Roman" w:cs="Times New Roman"/>
          <w:sz w:val="24"/>
        </w:rPr>
        <w:t>From news impact curve of GARCH (1, 1) we observe that the positive andnegativeshockshavesameeffectonvolatilitybecauseitdependsonthesquareof the previous shocks.</w:t>
      </w:r>
    </w:p>
    <w:p w:rsidR="00A13F1E" w:rsidRPr="00655268" w:rsidRDefault="00A13F1E" w:rsidP="00A13F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526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1,1) and GJRGARCH(1,1):</w:t>
      </w: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Both show asymmetrical impacts, with EGARCH emphasizing a stronger response to positive shocks and GJRGARCH highlighting a more significant response to negative shocks.</w:t>
      </w: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A13F1E" w:rsidRPr="00655268" w:rsidRDefault="00A13F1E" w:rsidP="00A13F1E">
      <w:pPr>
        <w:pStyle w:val="ListParagraph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KARNATAKA BANK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4238033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  The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GARCH(1,1) model presents a symmetrical news impact curve, indicating that both positive and negative shocks have an equal effect on future volatility.</w:t>
      </w:r>
    </w:p>
    <w:p w:rsidR="00A13F1E" w:rsidRPr="00655268" w:rsidRDefault="00A13F1E" w:rsidP="00A13F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  The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EGARCH(1,1) model shows a slightly asymmetrical news impact curve, suggesting that negative shocks have a marginally greater impact on future volatility compared to positive shocks of the same magnitude.</w:t>
      </w:r>
    </w:p>
    <w:p w:rsidR="00A13F1E" w:rsidRPr="00655268" w:rsidRDefault="00A13F1E" w:rsidP="00A13F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  The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GJR-GARCH(1,1) model exhibits a pronounced asymmetric news impact curve, with negative shocks having a significantly larger effect on future volatility than positive shocks.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</w:p>
    <w:p w:rsidR="00A13F1E" w:rsidRPr="00655268" w:rsidRDefault="00A13F1E" w:rsidP="00A13F1E">
      <w:pPr>
        <w:pStyle w:val="Heading1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DCB BANK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353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The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presents a symmetrical news impact curve, indicating that both positive and negative shocks have an equal effect on future volatility.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The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shows a slightly asymmetrical news impact curve, suggesting that negative shocks have a marginally greater impact on future volatility compared to positive shocks of the same magnitude.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The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exhibits a pronounced asymmetric news impact curve, with negative shocks having a significantly larger effect on future volatility than positive shocks.</w:t>
      </w:r>
    </w:p>
    <w:p w:rsidR="00A13F1E" w:rsidRPr="00655268" w:rsidRDefault="00A13F1E" w:rsidP="00A13F1E">
      <w:pPr>
        <w:pStyle w:val="Heading1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NESTLE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6393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The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presents a symmetrical news impact curve, indicating that both positive and negative shocks have an equal effect on future volatility.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The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shows a slightly asymmetrical news impact curve, suggesting that negative shocks have a marginally greater impact on future volatility compared to positive shocks of the same magnitude.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The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exhibits a pronounced asymmetric news impact curve, with negative shocks having a significantly larger effect on future volatility than positive shocks.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268">
        <w:rPr>
          <w:rFonts w:ascii="Times New Roman" w:hAnsi="Times New Roman" w:cs="Times New Roman"/>
          <w:sz w:val="24"/>
          <w:szCs w:val="24"/>
        </w:rPr>
        <w:t>ZYDUS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268">
        <w:rPr>
          <w:rFonts w:ascii="Times New Roman" w:hAnsi="Times New Roman" w:cs="Times New Roman"/>
          <w:noProof/>
          <w:sz w:val="24"/>
          <w:szCs w:val="24"/>
          <w:lang w:val="en-US" w:bidi="ml-IN"/>
        </w:rPr>
        <w:lastRenderedPageBreak/>
        <w:drawing>
          <wp:inline distT="0" distB="0" distL="0" distR="0">
            <wp:extent cx="5731510" cy="384482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The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presents a symmetrical news impact curve, indicating that both positive and negative shocks have an equal effect on future volatility.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The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shows a slightly asymmetrical news impact curve, suggesting that negative shocks have a marginally greater impact on future volatility compared to positive shocks of the same magnitude.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The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model exhibits a  slight asymmetric news impact curve, with negative shocks having a significantly larger effect on future volatility than positive shocks.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3F1E" w:rsidRPr="00655268" w:rsidRDefault="00A13F1E" w:rsidP="00A13F1E">
      <w:pPr>
        <w:pStyle w:val="Heading1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TASTY BITE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5912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655268">
        <w:rPr>
          <w:rFonts w:ascii="Times New Roman" w:hAnsi="Times New Roman" w:cs="Times New Roman"/>
        </w:rPr>
        <w:t>GARCH(</w:t>
      </w:r>
      <w:proofErr w:type="gramEnd"/>
      <w:r w:rsidRPr="00655268">
        <w:rPr>
          <w:rFonts w:ascii="Times New Roman" w:hAnsi="Times New Roman" w:cs="Times New Roma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 xml:space="preserve"> </w:t>
      </w:r>
      <w:proofErr w:type="gramStart"/>
      <w:r w:rsidRPr="00655268">
        <w:rPr>
          <w:rFonts w:ascii="Times New Roman" w:hAnsi="Times New Roman" w:cs="Times New Roman"/>
        </w:rPr>
        <w:t>EGARCH(</w:t>
      </w:r>
      <w:proofErr w:type="gramEnd"/>
      <w:r w:rsidRPr="00655268">
        <w:rPr>
          <w:rFonts w:ascii="Times New Roman" w:hAnsi="Times New Roman" w:cs="Times New Roman"/>
        </w:rPr>
        <w:t xml:space="preserve">1,1) exhibits a slightly asymmetric curve, suggesting a marginally stronger impact of negative shocks on volatility. </w:t>
      </w:r>
    </w:p>
    <w:p w:rsidR="00A13F1E" w:rsidRPr="00655268" w:rsidRDefault="00A13F1E" w:rsidP="00A13F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GJR-</w:t>
      </w:r>
      <w:proofErr w:type="gramStart"/>
      <w:r w:rsidRPr="00655268">
        <w:rPr>
          <w:rFonts w:ascii="Times New Roman" w:hAnsi="Times New Roman" w:cs="Times New Roman"/>
        </w:rPr>
        <w:t>GARCH(</w:t>
      </w:r>
      <w:proofErr w:type="gramEnd"/>
      <w:r w:rsidRPr="00655268">
        <w:rPr>
          <w:rFonts w:ascii="Times New Roman" w:hAnsi="Times New Roman" w:cs="Times New Roman"/>
        </w:rPr>
        <w:t>1,1) demonstrates a pronounced asymmetric curve, clearly showing that negative shocks significantly increase volatility compared to positive shocks.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BHARTI AIRTEL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3531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pStyle w:val="Heading1"/>
        <w:spacing w:beforeLines="9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2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HFCL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6859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MTNL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372100" cy="5114925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BIRLASOFIT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90001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ACCELYA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7128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TITAN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4491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RAJESH GEMS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900311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>GOENKA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  <w:noProof/>
          <w:lang w:val="en-US" w:bidi="ml-IN"/>
        </w:rPr>
        <w:drawing>
          <wp:inline distT="0" distB="0" distL="0" distR="0">
            <wp:extent cx="5731510" cy="383294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shows a symmetrical U-shaped curve, indicating equal volatility responses to positive and negative shocks.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• 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exhibits a slightly asymmetric curve, suggesting a marginally stronger impact of negative shocks on volatility.</w:t>
      </w:r>
    </w:p>
    <w:p w:rsidR="00A13F1E" w:rsidRPr="00655268" w:rsidRDefault="00A13F1E" w:rsidP="00A13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• GJR-</w:t>
      </w:r>
      <w:proofErr w:type="gramStart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GARCH(</w:t>
      </w:r>
      <w:proofErr w:type="gramEnd"/>
      <w:r w:rsidRPr="006552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1,1) demonstrates a pronounced asymmetric curve, clearly showing that negative shocks significantly increase volatility compared to positive shocks</w:t>
      </w: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A13F1E" w:rsidRPr="00655268" w:rsidRDefault="00A13F1E" w:rsidP="00A13F1E">
      <w:pPr>
        <w:jc w:val="center"/>
        <w:rPr>
          <w:rFonts w:ascii="Times New Roman" w:hAnsi="Times New Roman" w:cs="Times New Roman"/>
        </w:rPr>
      </w:pPr>
    </w:p>
    <w:p w:rsidR="007F14CE" w:rsidRDefault="007F14CE"/>
    <w:sectPr w:rsidR="007F14CE" w:rsidSect="00F7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D5EDD"/>
    <w:multiLevelType w:val="hybridMultilevel"/>
    <w:tmpl w:val="32A20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53423"/>
    <w:multiLevelType w:val="hybridMultilevel"/>
    <w:tmpl w:val="D79E5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3F1E"/>
    <w:rsid w:val="00443F4E"/>
    <w:rsid w:val="007F14CE"/>
    <w:rsid w:val="00A13F1E"/>
    <w:rsid w:val="00F74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1E"/>
    <w:pPr>
      <w:spacing w:after="160" w:line="259" w:lineRule="auto"/>
    </w:pPr>
    <w:rPr>
      <w:kern w:val="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1E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 w:bidi="ar-SA"/>
    </w:rPr>
  </w:style>
  <w:style w:type="paragraph" w:styleId="ListParagraph">
    <w:name w:val="List Paragraph"/>
    <w:basedOn w:val="Normal"/>
    <w:uiPriority w:val="1"/>
    <w:qFormat/>
    <w:rsid w:val="00A13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1E"/>
    <w:rPr>
      <w:rFonts w:ascii="Tahoma" w:hAnsi="Tahoma" w:cs="Tahoma"/>
      <w:kern w:val="2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2024-08-04T06:39:00Z</dcterms:created>
  <dcterms:modified xsi:type="dcterms:W3CDTF">2024-08-04T06:41:00Z</dcterms:modified>
</cp:coreProperties>
</file>