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r>
        <w:rPr>
          <w:sz w:val="22"/>
          <w:szCs w:val="22"/>
        </w:rPr>
        <w:t xml:space="preserve"/>
      </w:r>
    </w:p>
    <w:p>
      <w:pPr>
        <w:jc w:val="center"/>
      </w:pPr>
      <w:r>
        <w:rPr>
          <w:b/>
          <w:bCs/>
          <w:sz w:val="28"/>
          <w:szCs w:val="28"/>
          <w:color w:val="808080"/>
        </w:rPr>
        <w:t xml:space="preserve">BUSINESS REPORT</w:t>
      </w:r>
    </w:p>
    <w:p>
      <w:pPr/>
      <w:r>
        <w:rPr>
          <w:sz w:val="22"/>
          <w:szCs w:val="22"/>
        </w:rPr>
        <w:t xml:space="preserve"/>
      </w:r>
    </w:p>
    <w:p>
      <w:pPr>
        <w:jc w:val="center"/>
      </w:pPr>
      <w:r>
        <w:rPr>
          <w:b/>
          <w:bCs/>
          <w:sz w:val="56"/>
          <w:szCs w:val="56"/>
          <w:color w:val="1F3864"/>
        </w:rPr>
        <w:t xml:space="preserve">Scope of the AI Agent Industry</w:t>
      </w:r>
    </w:p>
    <w:p>
      <w:pPr>
        <w:jc w:val="center"/>
      </w:pPr>
      <w:r>
        <w:rPr>
          <w:i/>
          <w:iCs/>
          <w:sz w:val="28"/>
          <w:szCs w:val="28"/>
          <w:color w:val="404040"/>
        </w:rPr>
        <w:t xml:space="preserve">Market Size, Key Players, Future Potential, and Use Cases</w:t>
      </w:r>
    </w:p>
    <w:p>
      <w:pPr/>
      <w:r>
        <w:rPr>
          <w:sz w:val="22"/>
          <w:szCs w:val="22"/>
        </w:rPr>
        <w:t xml:space="preserve"/>
      </w:r>
    </w:p>
    <w:p>
      <w:pPr/>
      <w:r>
        <w:rPr>
          <w:sz w:val="22"/>
          <w:szCs w:val="22"/>
        </w:rPr>
        <w:t xml:space="preserve"/>
      </w:r>
    </w:p>
    <w:p>
      <w:pPr>
        <w:jc w:val="center"/>
      </w:pPr>
      <w:r>
        <w:rPr>
          <w:i/>
          <w:iCs/>
          <w:sz w:val="22"/>
          <w:szCs w:val="22"/>
        </w:rPr>
        <w:t xml:space="preserve">Prepared as part of the Analytics Vidhya GenAI Universe Assignment</w:t>
      </w:r>
    </w:p>
    <w:p>
      <w:pPr>
        <w:jc w:val="center"/>
      </w:pPr>
      <w:r>
        <w:rPr>
          <w:sz w:val="22"/>
          <w:szCs w:val="22"/>
        </w:rPr>
        <w:t xml:space="preserve">Date: May 2026</w:t>
      </w:r>
    </w:p>
    <w:p>
      <w:pPr>
        <w:jc w:val="center"/>
      </w:pPr>
      <w:r>
        <w:rPr>
          <w:i/>
          <w:iCs/>
          <w:sz w:val="20"/>
          <w:szCs w:val="20"/>
          <w:color w:val="606060"/>
        </w:rPr>
        <w:t xml:space="preserve">Research-backed and synthesized with multiple Generative AI tools (Claude, ChatGPT, Perplexity)</w:t>
      </w:r>
    </w:p>
    <w:p>
      <w:r>
        <w:br w:type="page"/>
      </w:r>
    </w:p>
    <w:p>
      <w:pPr>
        <w:pStyle w:val="Heading1"/>
      </w:pPr>
      <w:r>
        <w:rPr>
          <w:b/>
          <w:bCs/>
          <w:sz w:val="36"/>
          <w:szCs w:val="36"/>
          <w:color w:val="1F3864"/>
        </w:rPr>
        <w:t xml:space="preserve">Table of Contents</w:t>
      </w:r>
    </w:p>
    <w:p>
      <w:pPr/>
      <w:r>
        <w:rPr>
          <w:sz w:val="22"/>
          <w:szCs w:val="22"/>
        </w:rPr>
        <w:t xml:space="preserve">1. Executive Summary</w:t>
      </w:r>
    </w:p>
    <w:p>
      <w:pPr/>
      <w:r>
        <w:rPr>
          <w:sz w:val="22"/>
          <w:szCs w:val="22"/>
        </w:rPr>
        <w:t xml:space="preserve">2. Industry Overview</w:t>
      </w:r>
    </w:p>
    <w:p>
      <w:pPr/>
      <w:r>
        <w:rPr>
          <w:sz w:val="22"/>
          <w:szCs w:val="22"/>
        </w:rPr>
        <w:t xml:space="preserve">    2.1 What is an AI Agent?</w:t>
      </w:r>
    </w:p>
    <w:p>
      <w:pPr/>
      <w:r>
        <w:rPr>
          <w:sz w:val="22"/>
          <w:szCs w:val="22"/>
        </w:rPr>
        <w:t xml:space="preserve">    2.2 Current Market Scope</w:t>
      </w:r>
    </w:p>
    <w:p>
      <w:pPr/>
      <w:r>
        <w:rPr>
          <w:sz w:val="22"/>
          <w:szCs w:val="22"/>
        </w:rPr>
        <w:t xml:space="preserve">    2.3 Market Size and Growth</w:t>
      </w:r>
    </w:p>
    <w:p>
      <w:pPr/>
      <w:r>
        <w:rPr>
          <w:sz w:val="22"/>
          <w:szCs w:val="22"/>
        </w:rPr>
        <w:t xml:space="preserve">    2.4 Key Players and Competitive Landscape</w:t>
      </w:r>
    </w:p>
    <w:p>
      <w:pPr/>
      <w:r>
        <w:rPr>
          <w:sz w:val="22"/>
          <w:szCs w:val="22"/>
        </w:rPr>
        <w:t xml:space="preserve">3. Future Potential</w:t>
      </w:r>
    </w:p>
    <w:p>
      <w:pPr/>
      <w:r>
        <w:rPr>
          <w:sz w:val="22"/>
          <w:szCs w:val="22"/>
        </w:rPr>
        <w:t xml:space="preserve">    3.1 Macro Trends Shaping the Market</w:t>
      </w:r>
    </w:p>
    <w:p>
      <w:pPr/>
      <w:r>
        <w:rPr>
          <w:sz w:val="22"/>
          <w:szCs w:val="22"/>
        </w:rPr>
        <w:t xml:space="preserve">    3.2 Opportunity Areas (2026 - 2030)</w:t>
      </w:r>
    </w:p>
    <w:p>
      <w:pPr/>
      <w:r>
        <w:rPr>
          <w:sz w:val="22"/>
          <w:szCs w:val="22"/>
        </w:rPr>
        <w:t xml:space="preserve">    3.3 Risks, Constraints, and Open Problems</w:t>
      </w:r>
    </w:p>
    <w:p>
      <w:pPr/>
      <w:r>
        <w:rPr>
          <w:sz w:val="22"/>
          <w:szCs w:val="22"/>
        </w:rPr>
        <w:t xml:space="preserve">4. Five High-Impact Use Cases for LLM Agents</w:t>
      </w:r>
    </w:p>
    <w:p>
      <w:pPr/>
      <w:r>
        <w:rPr>
          <w:sz w:val="22"/>
          <w:szCs w:val="22"/>
        </w:rPr>
        <w:t xml:space="preserve">5. Supporting Data and References</w:t>
      </w:r>
    </w:p>
    <w:p>
      <w:pPr/>
      <w:r>
        <w:rPr>
          <w:sz w:val="22"/>
          <w:szCs w:val="22"/>
        </w:rPr>
        <w:t xml:space="preserve">6. Methodology - How GenAI Tools Were Used (RAG Workflow)</w:t>
      </w:r>
    </w:p>
    <w:p>
      <w:pPr/>
      <w:r>
        <w:rPr>
          <w:sz w:val="22"/>
          <w:szCs w:val="22"/>
        </w:rPr>
        <w:t xml:space="preserve">7. Conclusion</w:t>
      </w:r>
    </w:p>
    <w:p>
      <w:pPr/>
      <w:r>
        <w:rPr>
          <w:sz w:val="22"/>
          <w:szCs w:val="22"/>
        </w:rPr>
        <w:t xml:space="preserve">8. References (Blogs, Industry Reports, Videos)</w:t>
      </w:r>
    </w:p>
    <w:p>
      <w:pPr/>
      <w:r>
        <w:rPr>
          <w:sz w:val="22"/>
          <w:szCs w:val="22"/>
        </w:rPr>
        <w:t xml:space="preserve">9. Chat Link - Working Process</w:t>
      </w:r>
    </w:p>
    <w:p>
      <w:r>
        <w:br w:type="page"/>
      </w:r>
    </w:p>
    <w:p>
      <w:pPr>
        <w:pStyle w:val="Heading1"/>
      </w:pPr>
      <w:r>
        <w:rPr>
          <w:b/>
          <w:bCs/>
          <w:sz w:val="36"/>
          <w:szCs w:val="36"/>
          <w:color w:val="1F3864"/>
        </w:rPr>
        <w:t xml:space="preserve">1. Executive Summary</w:t>
      </w:r>
    </w:p>
    <w:p>
      <w:pPr/>
      <w:r>
        <w:rPr>
          <w:sz w:val="22"/>
          <w:szCs w:val="22"/>
        </w:rPr>
        <w:t xml:space="preserve">AI agents - software systems that combine large language models (LLMs) with planning, memory, and tool use to act on a user's behalf - have emerged as the most consequential evolution of generative AI since the launch of ChatGPT. Where a traditional LLM responds to a prompt, an agent decomposes a goal, calls external tools, observes results, and iterates until the goal is achieved.</w:t>
      </w:r>
    </w:p>
    <w:p>
      <w:pPr/>
      <w:r>
        <w:rPr>
          <w:sz w:val="22"/>
          <w:szCs w:val="22"/>
        </w:rPr>
        <w:t xml:space="preserve">The global AI agents market was valued at approximately USD 5.1 billion in 2024 and is projected to surpass USD 47 billion by 2030, growing at a compound annual growth rate (CAGR) of roughly 44 - 45 percent (MarketsAndMarkets, Grand View Research, Precedence Research). Gartner has named Agentic AI the number one strategic technology trend of 2025, and McKinsey estimates that agent-driven automation could unlock USD 2.6 - 4.4 trillion in annual economic value across knowledge work.</w:t>
      </w:r>
    </w:p>
    <w:p>
      <w:pPr/>
      <w:r>
        <w:rPr>
          <w:sz w:val="22"/>
          <w:szCs w:val="22"/>
        </w:rPr>
        <w:t xml:space="preserve">This report covers the current industry landscape, the major players, the directions in which the market is moving, five concrete enterprise use cases, the data sources that back the analysis, and the GenAI-assisted research workflow used to produce it.</w:t>
      </w:r>
    </w:p>
    <w:p>
      <w:r>
        <w:br w:type="page"/>
      </w:r>
    </w:p>
    <w:p>
      <w:pPr>
        <w:pStyle w:val="Heading1"/>
      </w:pPr>
      <w:r>
        <w:rPr>
          <w:b/>
          <w:bCs/>
          <w:sz w:val="36"/>
          <w:szCs w:val="36"/>
          <w:color w:val="1F3864"/>
        </w:rPr>
        <w:t xml:space="preserve">2. Industry Overview</w:t>
      </w:r>
    </w:p>
    <w:p>
      <w:pPr>
        <w:pStyle w:val="Heading2"/>
      </w:pPr>
      <w:r>
        <w:rPr>
          <w:b/>
          <w:bCs/>
          <w:sz w:val="28"/>
          <w:szCs w:val="28"/>
          <w:color w:val="2E74B5"/>
        </w:rPr>
        <w:t xml:space="preserve">2.1 What is an AI Agent?</w:t>
      </w:r>
    </w:p>
    <w:p>
      <w:pPr/>
      <w:r>
        <w:rPr>
          <w:sz w:val="22"/>
          <w:szCs w:val="22"/>
        </w:rPr>
        <w:t xml:space="preserve">An AI agent is an autonomous or semi-autonomous system that uses an LLM as its reasoning engine and is augmented with: (a) a planning loop that breaks goals into sub-tasks, (b) tools or function calls that let it interact with the outside world (APIs, browsers, code interpreters, databases), (c) memory that persists information across steps and sessions, and (d) an environment in which it can observe outcomes and adapt. Anthropic's engineering guidance distinguishes workflows (predetermined paths) from true agents (LLMs that dynamically direct their own process and tool usage).</w:t>
      </w:r>
    </w:p>
    <w:p>
      <w:pPr/>
      <w:r>
        <w:rPr>
          <w:sz w:val="22"/>
          <w:szCs w:val="22"/>
        </w:rPr>
        <w:t xml:space="preserve">Agent architectures span single-agent loops (ReAct, Reflexion), multi-agent collaboration (AutoGen, CrewAI, LangGraph supervisor patterns), and computer-use / browser-use agents (OpenAI Operator, Anthropic Claude Computer Use, Google Project Mariner).</w:t>
      </w:r>
    </w:p>
    <w:p>
      <w:pPr>
        <w:pStyle w:val="Heading2"/>
      </w:pPr>
      <w:r>
        <w:rPr>
          <w:b/>
          <w:bCs/>
          <w:sz w:val="28"/>
          <w:szCs w:val="28"/>
          <w:color w:val="2E74B5"/>
        </w:rPr>
        <w:t xml:space="preserve">2.2 Current Market Scope</w:t>
      </w:r>
    </w:p>
    <w:p>
      <w:pPr/>
      <w:r>
        <w:rPr>
          <w:sz w:val="22"/>
          <w:szCs w:val="22"/>
        </w:rPr>
        <w:t xml:space="preserve">The AI agent market is segmented across (i) developer platforms and frameworks, (ii) vertical enterprise agents (sales, support, finance, HR, security operations), (iii) consumer-facing assistants, and (iv) infrastructure (memory stores, vector databases, agent observability, evaluation tooling).</w:t>
      </w:r>
    </w:p>
    <w:p>
      <w:pPr/>
      <w:r>
        <w:rPr>
          <w:sz w:val="22"/>
          <w:szCs w:val="22"/>
        </w:rPr>
        <w:t xml:space="preserve">Geographically, North America holds the largest share (~40 - 42 percent of revenue in 2024), followed by Asia-Pacific as the fastest-growing region (CAGR above 45 percent), and Europe driven by enterprise adoption and regulatory clarity from the EU AI Act.</w:t>
      </w:r>
    </w:p>
    <w:p>
      <w:pPr>
        <w:pStyle w:val="Heading2"/>
      </w:pPr>
      <w:r>
        <w:rPr>
          <w:b/>
          <w:bCs/>
          <w:sz w:val="28"/>
          <w:szCs w:val="28"/>
          <w:color w:val="2E74B5"/>
        </w:rPr>
        <w:t xml:space="preserve">2.3 Market Size and Growth</w:t>
      </w:r>
    </w:p>
    <w:p>
      <w:pPr>
        <w:pStyle w:val="ListBullet"/>
        <w:numPr>
          <w:ilvl w:val="0"/>
          <w:numId w:val="1"/>
        </w:numPr>
      </w:pPr>
      <w:r>
        <w:rPr>
          <w:sz w:val="22"/>
        </w:rPr>
        <w:t xml:space="preserve">Global AI agents market 2024: ~USD 5.1 billion (MarketsAndMarkets).</w:t>
      </w:r>
    </w:p>
    <w:p>
      <w:pPr>
        <w:pStyle w:val="ListBullet"/>
        <w:numPr>
          <w:ilvl w:val="0"/>
          <w:numId w:val="1"/>
        </w:numPr>
      </w:pPr>
      <w:r>
        <w:rPr>
          <w:sz w:val="22"/>
        </w:rPr>
        <w:t xml:space="preserve">Projected 2030: USD 47.1 billion at CAGR 44.8 percent (MarketsAndMarkets).</w:t>
      </w:r>
    </w:p>
    <w:p>
      <w:pPr>
        <w:pStyle w:val="ListBullet"/>
        <w:numPr>
          <w:ilvl w:val="0"/>
          <w:numId w:val="1"/>
        </w:numPr>
      </w:pPr>
      <w:r>
        <w:rPr>
          <w:sz w:val="22"/>
        </w:rPr>
        <w:t xml:space="preserve">Autonomous AI agents segment alone: USD 4.35 billion in 2023, expected to reach USD 28.5 billion by 2028 (Precedence Research).</w:t>
      </w:r>
    </w:p>
    <w:p>
      <w:pPr>
        <w:pStyle w:val="ListBullet"/>
        <w:numPr>
          <w:ilvl w:val="0"/>
          <w:numId w:val="1"/>
        </w:numPr>
      </w:pPr>
      <w:r>
        <w:rPr>
          <w:sz w:val="22"/>
        </w:rPr>
        <w:t xml:space="preserve">Enterprise adoption: 65 percent of organizations now regularly use generative AI; 33 percent are piloting or deploying autonomous agents (Deloitte State of GenAI Q4 2024, McKinsey 2024 GenAI Survey).</w:t>
      </w:r>
    </w:p>
    <w:p>
      <w:pPr>
        <w:pStyle w:val="ListBullet"/>
        <w:numPr>
          <w:ilvl w:val="0"/>
          <w:numId w:val="1"/>
        </w:numPr>
      </w:pPr>
      <w:r>
        <w:rPr>
          <w:sz w:val="22"/>
        </w:rPr>
        <w:t xml:space="preserve">Forecast: by 2028, Gartner expects at least 33 percent of enterprise software applications to include agentic AI, up from less than 1 percent in 2024.</w:t>
      </w:r>
    </w:p>
    <w:p>
      <w:pPr>
        <w:pStyle w:val="ListBullet"/>
        <w:numPr>
          <w:ilvl w:val="0"/>
          <w:numId w:val="1"/>
        </w:numPr>
      </w:pPr>
      <w:r>
        <w:rPr>
          <w:sz w:val="22"/>
        </w:rPr>
        <w:t xml:space="preserve">Capital flow: agent-focused startups (Cognition, Adept, Sierra, /dev/agents, MultiOn, Imbue) collectively raised more than USD 3 billion in 2024.</w:t>
      </w:r>
    </w:p>
    <w:p>
      <w:pPr>
        <w:pStyle w:val="Heading2"/>
      </w:pPr>
      <w:r>
        <w:rPr>
          <w:b/>
          <w:bCs/>
          <w:sz w:val="28"/>
          <w:szCs w:val="28"/>
          <w:color w:val="2E74B5"/>
        </w:rPr>
        <w:t xml:space="preserve">2.4 Key Players and Competitive Landscape</w:t>
      </w:r>
    </w:p>
    <w:p>
      <w:pPr>
        <w:pStyle w:val="Heading3"/>
      </w:pPr>
      <w:r>
        <w:rPr>
          <w:b/>
          <w:bCs/>
          <w:sz w:val="24"/>
          <w:szCs w:val="24"/>
          <w:color w:val="2E74B5"/>
        </w:rPr>
        <w:t xml:space="preserve">Foundation model / platform providers</w:t>
      </w:r>
    </w:p>
    <w:p>
      <w:pPr>
        <w:pStyle w:val="ListBullet"/>
        <w:numPr>
          <w:ilvl w:val="0"/>
          <w:numId w:val="1"/>
        </w:numPr>
      </w:pPr>
      <w:r>
        <w:rPr>
          <w:sz w:val="22"/>
        </w:rPr>
        <w:t xml:space="preserve">OpenAI - GPT-4o, o3, Operator (browser agent), Assistants API, Custom GPTs.</w:t>
      </w:r>
    </w:p>
    <w:p>
      <w:pPr>
        <w:pStyle w:val="ListBullet"/>
        <w:numPr>
          <w:ilvl w:val="0"/>
          <w:numId w:val="1"/>
        </w:numPr>
      </w:pPr>
      <w:r>
        <w:rPr>
          <w:sz w:val="22"/>
        </w:rPr>
        <w:t xml:space="preserve">Anthropic - Claude Opus / Sonnet, Computer Use, Claude Agent SDK, MCP (Model Context Protocol).</w:t>
      </w:r>
    </w:p>
    <w:p>
      <w:pPr>
        <w:pStyle w:val="ListBullet"/>
        <w:numPr>
          <w:ilvl w:val="0"/>
          <w:numId w:val="1"/>
        </w:numPr>
      </w:pPr>
      <w:r>
        <w:rPr>
          <w:sz w:val="22"/>
        </w:rPr>
        <w:t xml:space="preserve">Google DeepMind - Gemini, Project Astra, Project Mariner, Vertex AI Agent Builder.</w:t>
      </w:r>
    </w:p>
    <w:p>
      <w:pPr>
        <w:pStyle w:val="ListBullet"/>
        <w:numPr>
          <w:ilvl w:val="0"/>
          <w:numId w:val="1"/>
        </w:numPr>
      </w:pPr>
      <w:r>
        <w:rPr>
          <w:sz w:val="22"/>
        </w:rPr>
        <w:t xml:space="preserve">Meta - Llama 3.3 / 4, open-source agent stacks.</w:t>
      </w:r>
    </w:p>
    <w:p>
      <w:pPr>
        <w:pStyle w:val="ListBullet"/>
        <w:numPr>
          <w:ilvl w:val="0"/>
          <w:numId w:val="1"/>
        </w:numPr>
      </w:pPr>
      <w:r>
        <w:rPr>
          <w:sz w:val="22"/>
        </w:rPr>
        <w:t xml:space="preserve">Microsoft - Copilot Studio, Autogen, Azure AI Foundry agent service.</w:t>
      </w:r>
    </w:p>
    <w:p>
      <w:pPr>
        <w:pStyle w:val="ListBullet"/>
        <w:numPr>
          <w:ilvl w:val="0"/>
          <w:numId w:val="1"/>
        </w:numPr>
      </w:pPr>
      <w:r>
        <w:rPr>
          <w:sz w:val="22"/>
        </w:rPr>
        <w:t xml:space="preserve">AWS - Bedrock Agents, Q Developer.</w:t>
      </w:r>
    </w:p>
    <w:p>
      <w:pPr>
        <w:pStyle w:val="Heading3"/>
      </w:pPr>
      <w:r>
        <w:rPr>
          <w:b/>
          <w:bCs/>
          <w:sz w:val="24"/>
          <w:szCs w:val="24"/>
          <w:color w:val="2E74B5"/>
        </w:rPr>
        <w:t xml:space="preserve">Enterprise / vertical agent platforms</w:t>
      </w:r>
    </w:p>
    <w:p>
      <w:pPr>
        <w:pStyle w:val="ListBullet"/>
        <w:numPr>
          <w:ilvl w:val="0"/>
          <w:numId w:val="1"/>
        </w:numPr>
      </w:pPr>
      <w:r>
        <w:rPr>
          <w:sz w:val="22"/>
        </w:rPr>
        <w:t xml:space="preserve">Salesforce Agentforce - autonomous CRM and service agents.</w:t>
      </w:r>
    </w:p>
    <w:p>
      <w:pPr>
        <w:pStyle w:val="ListBullet"/>
        <w:numPr>
          <w:ilvl w:val="0"/>
          <w:numId w:val="1"/>
        </w:numPr>
      </w:pPr>
      <w:r>
        <w:rPr>
          <w:sz w:val="22"/>
        </w:rPr>
        <w:t xml:space="preserve">ServiceNow AI Agents - IT and HR workflow automation.</w:t>
      </w:r>
    </w:p>
    <w:p>
      <w:pPr>
        <w:pStyle w:val="ListBullet"/>
        <w:numPr>
          <w:ilvl w:val="0"/>
          <w:numId w:val="1"/>
        </w:numPr>
      </w:pPr>
      <w:r>
        <w:rPr>
          <w:sz w:val="22"/>
        </w:rPr>
        <w:t xml:space="preserve">Sierra - customer experience agents (Bret Taylor).</w:t>
      </w:r>
    </w:p>
    <w:p>
      <w:pPr>
        <w:pStyle w:val="ListBullet"/>
        <w:numPr>
          <w:ilvl w:val="0"/>
          <w:numId w:val="1"/>
        </w:numPr>
      </w:pPr>
      <w:r>
        <w:rPr>
          <w:sz w:val="22"/>
        </w:rPr>
        <w:t xml:space="preserve">Cognition (Devin) - autonomous software engineering agent.</w:t>
      </w:r>
    </w:p>
    <w:p>
      <w:pPr>
        <w:pStyle w:val="ListBullet"/>
        <w:numPr>
          <w:ilvl w:val="0"/>
          <w:numId w:val="1"/>
        </w:numPr>
      </w:pPr>
      <w:r>
        <w:rPr>
          <w:sz w:val="22"/>
        </w:rPr>
        <w:t xml:space="preserve">Harvey - legal agents; Glean - enterprise search agents; Hippocratic AI - healthcare agents.</w:t>
      </w:r>
    </w:p>
    <w:p>
      <w:pPr>
        <w:pStyle w:val="Heading3"/>
      </w:pPr>
      <w:r>
        <w:rPr>
          <w:b/>
          <w:bCs/>
          <w:sz w:val="24"/>
          <w:szCs w:val="24"/>
          <w:color w:val="2E74B5"/>
        </w:rPr>
        <w:t xml:space="preserve">Frameworks and open-source tooling</w:t>
      </w:r>
    </w:p>
    <w:p>
      <w:pPr>
        <w:pStyle w:val="ListBullet"/>
        <w:numPr>
          <w:ilvl w:val="0"/>
          <w:numId w:val="1"/>
        </w:numPr>
      </w:pPr>
      <w:r>
        <w:rPr>
          <w:sz w:val="22"/>
        </w:rPr>
        <w:t xml:space="preserve">LangChain / LangGraph, LlamaIndex, AutoGen, CrewAI, OpenAI Swarm, Haystack Agents, Pydantic AI, smolagents.</w:t>
      </w:r>
    </w:p>
    <w:p>
      <w:pPr>
        <w:pStyle w:val="Heading3"/>
      </w:pPr>
      <w:r>
        <w:rPr>
          <w:b/>
          <w:bCs/>
          <w:sz w:val="24"/>
          <w:szCs w:val="24"/>
          <w:color w:val="2E74B5"/>
        </w:rPr>
        <w:t xml:space="preserve">Infrastructure</w:t>
      </w:r>
    </w:p>
    <w:p>
      <w:pPr>
        <w:pStyle w:val="ListBullet"/>
        <w:numPr>
          <w:ilvl w:val="0"/>
          <w:numId w:val="1"/>
        </w:numPr>
      </w:pPr>
      <w:r>
        <w:rPr>
          <w:sz w:val="22"/>
        </w:rPr>
        <w:t xml:space="preserve">Vector DBs - Pinecone, Weaviate, Qdrant, Chroma.</w:t>
      </w:r>
    </w:p>
    <w:p>
      <w:pPr>
        <w:pStyle w:val="ListBullet"/>
        <w:numPr>
          <w:ilvl w:val="0"/>
          <w:numId w:val="1"/>
        </w:numPr>
      </w:pPr>
      <w:r>
        <w:rPr>
          <w:sz w:val="22"/>
        </w:rPr>
        <w:t xml:space="preserve">Agent observability and eval - LangSmith, Arize, Braintrust, Galileo, Weights and Biases Weave.</w:t>
      </w:r>
    </w:p>
    <w:p>
      <w:pPr>
        <w:pStyle w:val="ListBullet"/>
        <w:numPr>
          <w:ilvl w:val="0"/>
          <w:numId w:val="1"/>
        </w:numPr>
      </w:pPr>
      <w:r>
        <w:rPr>
          <w:sz w:val="22"/>
        </w:rPr>
        <w:t xml:space="preserve">Memory layers - Zep, Mem0, Letta.</w:t>
      </w:r>
    </w:p>
    <w:p>
      <w:r>
        <w:br w:type="page"/>
      </w:r>
    </w:p>
    <w:p>
      <w:pPr>
        <w:pStyle w:val="Heading1"/>
      </w:pPr>
      <w:r>
        <w:rPr>
          <w:b/>
          <w:bCs/>
          <w:sz w:val="36"/>
          <w:szCs w:val="36"/>
          <w:color w:val="1F3864"/>
        </w:rPr>
        <w:t xml:space="preserve">3. Future Potential</w:t>
      </w:r>
    </w:p>
    <w:p>
      <w:pPr>
        <w:pStyle w:val="Heading2"/>
      </w:pPr>
      <w:r>
        <w:rPr>
          <w:b/>
          <w:bCs/>
          <w:sz w:val="28"/>
          <w:szCs w:val="28"/>
          <w:color w:val="2E74B5"/>
        </w:rPr>
        <w:t xml:space="preserve">3.1 Macro Trends Shaping the Market</w:t>
      </w:r>
    </w:p>
    <w:p>
      <w:pPr/>
      <w:r>
        <w:rPr>
          <w:b/>
          <w:bCs/>
          <w:sz w:val="22"/>
        </w:rPr>
        <w:t xml:space="preserve">Shift from copilots to autonomous agents. </w:t>
      </w:r>
      <w:r>
        <w:rPr>
          <w:sz w:val="22"/>
        </w:rPr>
        <w:t xml:space="preserve">Through 2024 most enterprise GenAI deployments were 'copilot' style assistants that needed a human in every step. From 2025 onward the dominant pattern is goal-driven agents that complete multi-step workflows with selective human review.</w:t>
      </w:r>
    </w:p>
    <w:p>
      <w:pPr/>
      <w:r>
        <w:rPr>
          <w:b/>
          <w:bCs/>
          <w:sz w:val="22"/>
        </w:rPr>
        <w:t xml:space="preserve">Multi-agent systems become standard. </w:t>
      </w:r>
      <w:r>
        <w:rPr>
          <w:sz w:val="22"/>
        </w:rPr>
        <w:t xml:space="preserve">Single-agent ReAct loops are giving way to supervisor / worker patterns where a planner agent delegates to specialized agents (retrieval, coding, browsing, judging). LangGraph, CrewAI, and AutoGen all push this pattern.</w:t>
      </w:r>
    </w:p>
    <w:p>
      <w:pPr/>
      <w:r>
        <w:rPr>
          <w:b/>
          <w:bCs/>
          <w:sz w:val="22"/>
        </w:rPr>
        <w:t xml:space="preserve">Computer-use and browser-use agents. </w:t>
      </w:r>
      <w:r>
        <w:rPr>
          <w:sz w:val="22"/>
        </w:rPr>
        <w:t xml:space="preserve">OpenAI Operator, Anthropic Computer Use, and Google Mariner extend agents from API-bound tasks to any application a human can operate, dramatically expanding the addressable workflow surface.</w:t>
      </w:r>
    </w:p>
    <w:p>
      <w:pPr/>
      <w:r>
        <w:rPr>
          <w:b/>
          <w:bCs/>
          <w:sz w:val="22"/>
        </w:rPr>
        <w:t xml:space="preserve">Standardization via Model Context Protocol (MCP). </w:t>
      </w:r>
      <w:r>
        <w:rPr>
          <w:sz w:val="22"/>
        </w:rPr>
        <w:t xml:space="preserve">Anthropic's open MCP standard is being adopted by OpenAI, Microsoft, and major IDE vendors, creating a USB-C-style universal connector between agents and tools / data.</w:t>
      </w:r>
    </w:p>
    <w:p>
      <w:pPr/>
      <w:r>
        <w:rPr>
          <w:b/>
          <w:bCs/>
          <w:sz w:val="22"/>
        </w:rPr>
        <w:t xml:space="preserve">On-device and small agents. </w:t>
      </w:r>
      <w:r>
        <w:rPr>
          <w:sz w:val="22"/>
        </w:rPr>
        <w:t xml:space="preserve">Phi-4, Llama 3.3 8B, Qwen 2.5, and Apple Intelligence make capable agents possible on phones and edge hardware, opening privacy-sensitive and latency-sensitive use cases.</w:t>
      </w:r>
    </w:p>
    <w:p>
      <w:pPr/>
      <w:r>
        <w:rPr>
          <w:b/>
          <w:bCs/>
          <w:sz w:val="22"/>
        </w:rPr>
        <w:t xml:space="preserve">Agent evaluation and safety become a discipline. </w:t>
      </w:r>
      <w:r>
        <w:rPr>
          <w:sz w:val="22"/>
        </w:rPr>
        <w:t xml:space="preserve">Benchmarks (SWE-bench Verified, OSWorld, WebArena, GAIA, tau-bench), red-team practices, and observability stacks are now table stakes for production deployments.</w:t>
      </w:r>
    </w:p>
    <w:p>
      <w:pPr>
        <w:pStyle w:val="Heading2"/>
      </w:pPr>
      <w:r>
        <w:rPr>
          <w:b/>
          <w:bCs/>
          <w:sz w:val="28"/>
          <w:szCs w:val="28"/>
          <w:color w:val="2E74B5"/>
        </w:rPr>
        <w:t xml:space="preserve">3.2 Opportunity Areas (2026 - 2030)</w:t>
      </w:r>
    </w:p>
    <w:p>
      <w:pPr>
        <w:pStyle w:val="ListBullet"/>
        <w:numPr>
          <w:ilvl w:val="0"/>
          <w:numId w:val="1"/>
        </w:numPr>
      </w:pPr>
      <w:r>
        <w:rPr>
          <w:sz w:val="22"/>
        </w:rPr>
        <w:t xml:space="preserve">Vertical agents for regulated industries (healthcare triage, legal review, financial compliance) where domain accuracy and audit trails matter more than raw reasoning.</w:t>
      </w:r>
    </w:p>
    <w:p>
      <w:pPr>
        <w:pStyle w:val="ListBullet"/>
        <w:numPr>
          <w:ilvl w:val="0"/>
          <w:numId w:val="1"/>
        </w:numPr>
      </w:pPr>
      <w:r>
        <w:rPr>
          <w:sz w:val="22"/>
        </w:rPr>
        <w:t xml:space="preserve">Agent-native SaaS - new products designed assuming an agent, not a human, is the primary user (e.g. agent-friendly APIs, machine-readable docs, programmatic auth).</w:t>
      </w:r>
    </w:p>
    <w:p>
      <w:pPr>
        <w:pStyle w:val="ListBullet"/>
        <w:numPr>
          <w:ilvl w:val="0"/>
          <w:numId w:val="1"/>
        </w:numPr>
      </w:pPr>
      <w:r>
        <w:rPr>
          <w:sz w:val="22"/>
        </w:rPr>
        <w:t xml:space="preserve">Agentic process automation replacing legacy RPA - 25 - 40 percent cost reductions reported in early deployments (UiPath, Automation Anywhere, Microsoft).</w:t>
      </w:r>
    </w:p>
    <w:p>
      <w:pPr>
        <w:pStyle w:val="ListBullet"/>
        <w:numPr>
          <w:ilvl w:val="0"/>
          <w:numId w:val="1"/>
        </w:numPr>
      </w:pPr>
      <w:r>
        <w:rPr>
          <w:sz w:val="22"/>
        </w:rPr>
        <w:t xml:space="preserve">Software engineering agents - Cognition Devin, GitHub Copilot Workspace, Claude Code, Cursor Composer; the SWE-bench Verified score has moved from 4 percent (Mar 2023) to over 70 percent (early 2026).</w:t>
      </w:r>
    </w:p>
    <w:p>
      <w:pPr>
        <w:pStyle w:val="ListBullet"/>
        <w:numPr>
          <w:ilvl w:val="0"/>
          <w:numId w:val="1"/>
        </w:numPr>
      </w:pPr>
      <w:r>
        <w:rPr>
          <w:sz w:val="22"/>
        </w:rPr>
        <w:t xml:space="preserve">Personal AI agents - calendar, email, travel, finance assistants embedded in OS-level surfaces (Apple Intelligence, Android, Windows Copilot+).</w:t>
      </w:r>
    </w:p>
    <w:p>
      <w:pPr>
        <w:pStyle w:val="ListBullet"/>
        <w:numPr>
          <w:ilvl w:val="0"/>
          <w:numId w:val="1"/>
        </w:numPr>
      </w:pPr>
      <w:r>
        <w:rPr>
          <w:sz w:val="22"/>
        </w:rPr>
        <w:t xml:space="preserve">Scientific research agents (literature review, hypothesis generation, lab automation) - early proof points from DeepMind AlphaProteo, Sakana AI Scientist.</w:t>
      </w:r>
    </w:p>
    <w:p>
      <w:pPr>
        <w:pStyle w:val="Heading2"/>
      </w:pPr>
      <w:r>
        <w:rPr>
          <w:b/>
          <w:bCs/>
          <w:sz w:val="28"/>
          <w:szCs w:val="28"/>
          <w:color w:val="2E74B5"/>
        </w:rPr>
        <w:t xml:space="preserve">3.3 Risks, Constraints, and Open Problems</w:t>
      </w:r>
    </w:p>
    <w:p>
      <w:pPr>
        <w:pStyle w:val="ListBullet"/>
        <w:numPr>
          <w:ilvl w:val="0"/>
          <w:numId w:val="1"/>
        </w:numPr>
      </w:pPr>
      <w:r>
        <w:rPr>
          <w:sz w:val="22"/>
        </w:rPr>
        <w:t xml:space="preserve">Reliability - long-horizon tasks still fail at high rates; production deployments require strong guardrails and fallback to humans.</w:t>
      </w:r>
    </w:p>
    <w:p>
      <w:pPr>
        <w:pStyle w:val="ListBullet"/>
        <w:numPr>
          <w:ilvl w:val="0"/>
          <w:numId w:val="1"/>
        </w:numPr>
      </w:pPr>
      <w:r>
        <w:rPr>
          <w:sz w:val="22"/>
        </w:rPr>
        <w:t xml:space="preserve">Security - prompt injection, tool poisoning, data exfiltration via agent browsing remain unsolved at scale.</w:t>
      </w:r>
    </w:p>
    <w:p>
      <w:pPr>
        <w:pStyle w:val="ListBullet"/>
        <w:numPr>
          <w:ilvl w:val="0"/>
          <w:numId w:val="1"/>
        </w:numPr>
      </w:pPr>
      <w:r>
        <w:rPr>
          <w:sz w:val="22"/>
        </w:rPr>
        <w:t xml:space="preserve">Cost - autonomous loops with frequent tool calls can be 10 - 100x more expensive per task than a single chat completion.</w:t>
      </w:r>
    </w:p>
    <w:p>
      <w:pPr>
        <w:pStyle w:val="ListBullet"/>
        <w:numPr>
          <w:ilvl w:val="0"/>
          <w:numId w:val="1"/>
        </w:numPr>
      </w:pPr>
      <w:r>
        <w:rPr>
          <w:sz w:val="22"/>
        </w:rPr>
        <w:t xml:space="preserve">Regulation - EU AI Act (high-risk category for autonomous decisioning), US executive orders, sector-specific rules (HIPAA, SOX) shape what can be deployed.</w:t>
      </w:r>
    </w:p>
    <w:p>
      <w:pPr>
        <w:pStyle w:val="ListBullet"/>
        <w:numPr>
          <w:ilvl w:val="0"/>
          <w:numId w:val="1"/>
        </w:numPr>
      </w:pPr>
      <w:r>
        <w:rPr>
          <w:sz w:val="22"/>
        </w:rPr>
        <w:t xml:space="preserve">Talent and tooling gap - few engineers have production experience with multi-agent systems, evaluation, and observability.</w:t>
      </w:r>
    </w:p>
    <w:p>
      <w:r>
        <w:br w:type="page"/>
      </w:r>
    </w:p>
    <w:p>
      <w:pPr>
        <w:pStyle w:val="Heading1"/>
      </w:pPr>
      <w:r>
        <w:rPr>
          <w:b/>
          <w:bCs/>
          <w:sz w:val="36"/>
          <w:szCs w:val="36"/>
          <w:color w:val="1F3864"/>
        </w:rPr>
        <w:t xml:space="preserve">4. Five High-Impact Use Cases for LLM Agents</w:t>
      </w:r>
    </w:p>
    <w:p>
      <w:pPr>
        <w:pStyle w:val="Heading2"/>
      </w:pPr>
      <w:r>
        <w:rPr>
          <w:b/>
          <w:bCs/>
          <w:sz w:val="28"/>
          <w:szCs w:val="28"/>
          <w:color w:val="2E74B5"/>
        </w:rPr>
        <w:t xml:space="preserve">Use Case 1 - Autonomous Customer Support Agent</w:t>
      </w:r>
    </w:p>
    <w:p>
      <w:pPr/>
      <w:r>
        <w:rPr>
          <w:b/>
          <w:bCs/>
          <w:sz w:val="22"/>
        </w:rPr>
        <w:t xml:space="preserve">Task: </w:t>
      </w:r>
      <w:r>
        <w:rPr>
          <w:sz w:val="22"/>
        </w:rPr>
        <w:t xml:space="preserve">Resolve customer tickets end-to-end - classify intent, retrieve relevant knowledge, query order / billing systems, take corrective action (refund, ship replacement), and respond in the customer's language and tone.</w:t>
      </w:r>
    </w:p>
    <w:p>
      <w:pPr/>
      <w:r>
        <w:rPr>
          <w:b/>
          <w:bCs/>
          <w:sz w:val="22"/>
        </w:rPr>
        <w:t xml:space="preserve">Implementation: </w:t>
      </w:r>
      <w:r>
        <w:rPr>
          <w:sz w:val="22"/>
        </w:rPr>
        <w:t xml:space="preserve">LLM with retrieval over the knowledge base (vector DB), tool calls into Zendesk / Salesforce / Shopify, a policy module that enforces refund limits, and a supervisor that escalates low-confidence cases. Built on Salesforce Agentforce, Sierra, Intercom Fin, or in-house on LangGraph + Claude / GPT-4o.</w:t>
      </w:r>
    </w:p>
    <w:p>
      <w:pPr/>
      <w:r>
        <w:rPr>
          <w:b/>
          <w:bCs/>
          <w:sz w:val="22"/>
        </w:rPr>
        <w:t xml:space="preserve">Impact: </w:t>
      </w:r>
      <w:r>
        <w:rPr>
          <w:sz w:val="22"/>
        </w:rPr>
        <w:t xml:space="preserve">Klarna reported in 2024 that its AI assistant handled the work of 700 agents, resolved tickets in under 2 minutes (vs 11 minutes for humans), and was projected to drive USD 40 million in profit improvement. Typical enterprise pilots show 30 - 50 percent ticket deflection and 60 - 80 percent reduction in average handle time.</w:t>
      </w:r>
    </w:p>
    <w:p>
      <w:pPr>
        <w:pStyle w:val="Heading2"/>
      </w:pPr>
      <w:r>
        <w:rPr>
          <w:b/>
          <w:bCs/>
          <w:sz w:val="28"/>
          <w:szCs w:val="28"/>
          <w:color w:val="2E74B5"/>
        </w:rPr>
        <w:t xml:space="preserve">Use Case 2 - Autonomous Software Engineering Agent</w:t>
      </w:r>
    </w:p>
    <w:p>
      <w:pPr/>
      <w:r>
        <w:rPr>
          <w:b/>
          <w:bCs/>
          <w:sz w:val="22"/>
        </w:rPr>
        <w:t xml:space="preserve">Task: </w:t>
      </w:r>
      <w:r>
        <w:rPr>
          <w:sz w:val="22"/>
        </w:rPr>
        <w:t xml:space="preserve">Take a GitHub issue or feature request, explore the codebase, write code, run tests, fix failures, open a pull request.</w:t>
      </w:r>
    </w:p>
    <w:p>
      <w:pPr/>
      <w:r>
        <w:rPr>
          <w:b/>
          <w:bCs/>
          <w:sz w:val="22"/>
        </w:rPr>
        <w:t xml:space="preserve">Implementation: </w:t>
      </w:r>
      <w:r>
        <w:rPr>
          <w:sz w:val="22"/>
        </w:rPr>
        <w:t xml:space="preserve">Agent uses a code-execution sandbox, a file-edit tool, a shell, a browser, and a long-running planning loop. Cognition Devin, Claude Code, GitHub Copilot Workspace, Cursor Composer, and OpenAI Codex CLI are leading implementations. Internal teams replicate this on top of Anthropic's Claude Agent SDK or OpenAI Assistants with a custom sandbox.</w:t>
      </w:r>
    </w:p>
    <w:p>
      <w:pPr/>
      <w:r>
        <w:rPr>
          <w:b/>
          <w:bCs/>
          <w:sz w:val="22"/>
        </w:rPr>
        <w:t xml:space="preserve">Impact: </w:t>
      </w:r>
      <w:r>
        <w:rPr>
          <w:sz w:val="22"/>
        </w:rPr>
        <w:t xml:space="preserve">On SWE-bench Verified (real GitHub issues), leading agents now resolve 70+ percent autonomously versus 4 percent in early 2023. Stripe, Shopify, and Notion report 20 - 35 percent throughput gains on backlog work and significant reductions in onboarding time for new engineers.</w:t>
      </w:r>
    </w:p>
    <w:p>
      <w:pPr>
        <w:pStyle w:val="Heading2"/>
      </w:pPr>
      <w:r>
        <w:rPr>
          <w:b/>
          <w:bCs/>
          <w:sz w:val="28"/>
          <w:szCs w:val="28"/>
          <w:color w:val="2E74B5"/>
        </w:rPr>
        <w:t xml:space="preserve">Use Case 3 - Research and Market Intelligence Agent</w:t>
      </w:r>
    </w:p>
    <w:p>
      <w:pPr/>
      <w:r>
        <w:rPr>
          <w:b/>
          <w:bCs/>
          <w:sz w:val="22"/>
        </w:rPr>
        <w:t xml:space="preserve">Task: </w:t>
      </w:r>
      <w:r>
        <w:rPr>
          <w:sz w:val="22"/>
        </w:rPr>
        <w:t xml:space="preserve">Given a research question, browse the web and internal documents, synthesize sources, produce a structured report with citations - exactly the workflow used to produce this report.</w:t>
      </w:r>
    </w:p>
    <w:p>
      <w:pPr/>
      <w:r>
        <w:rPr>
          <w:b/>
          <w:bCs/>
          <w:sz w:val="22"/>
        </w:rPr>
        <w:t xml:space="preserve">Implementation: </w:t>
      </w:r>
      <w:r>
        <w:rPr>
          <w:sz w:val="22"/>
        </w:rPr>
        <w:t xml:space="preserve">Planner agent decomposes the question, retrieval agent calls search APIs (Exa, Perplexity, Tavily) and an internal vector store, a writer agent drafts sections, a critic agent checks for hallucinations and missing citations. Frameworks: LangGraph supervisor pattern, AutoGen, or OpenAI Deep Research and Anthropic Claude Projects out of the box.</w:t>
      </w:r>
    </w:p>
    <w:p>
      <w:pPr/>
      <w:r>
        <w:rPr>
          <w:b/>
          <w:bCs/>
          <w:sz w:val="22"/>
        </w:rPr>
        <w:t xml:space="preserve">Impact: </w:t>
      </w:r>
      <w:r>
        <w:rPr>
          <w:sz w:val="22"/>
        </w:rPr>
        <w:t xml:space="preserve">Reduces a 2 - 3 day analyst task to 20 - 40 minutes. Goldman Sachs, Morgan Stanley, and BCG have deployed analyst-augmenting agents that draft client memos and competitive landscapes; reported time savings of 70 - 90 percent on first drafts.</w:t>
      </w:r>
    </w:p>
    <w:p>
      <w:pPr>
        <w:pStyle w:val="Heading2"/>
      </w:pPr>
      <w:r>
        <w:rPr>
          <w:b/>
          <w:bCs/>
          <w:sz w:val="28"/>
          <w:szCs w:val="28"/>
          <w:color w:val="2E74B5"/>
        </w:rPr>
        <w:t xml:space="preserve">Use Case 4 - Sales Development and Outbound Agent</w:t>
      </w:r>
    </w:p>
    <w:p>
      <w:pPr/>
      <w:r>
        <w:rPr>
          <w:b/>
          <w:bCs/>
          <w:sz w:val="22"/>
        </w:rPr>
        <w:t xml:space="preserve">Task: </w:t>
      </w:r>
      <w:r>
        <w:rPr>
          <w:sz w:val="22"/>
        </w:rPr>
        <w:t xml:space="preserve">Identify high-fit prospects, enrich account data, personalize outreach across email and LinkedIn, schedule meetings, hand off qualified leads to humans.</w:t>
      </w:r>
    </w:p>
    <w:p>
      <w:pPr/>
      <w:r>
        <w:rPr>
          <w:b/>
          <w:bCs/>
          <w:sz w:val="22"/>
        </w:rPr>
        <w:t xml:space="preserve">Implementation: </w:t>
      </w:r>
      <w:r>
        <w:rPr>
          <w:sz w:val="22"/>
        </w:rPr>
        <w:t xml:space="preserve">Agent integrates Apollo / ZoomInfo / Clay for data, Gmail / Outlook for outreach, a CRM for state, and a calendar tool for scheduling. 11x, Artisan, Regie.ai, and Salesforce Agentforce SDR are vertical products; many enterprises build internally on CrewAI.</w:t>
      </w:r>
    </w:p>
    <w:p>
      <w:pPr/>
      <w:r>
        <w:rPr>
          <w:b/>
          <w:bCs/>
          <w:sz w:val="22"/>
        </w:rPr>
        <w:t xml:space="preserve">Impact: </w:t>
      </w:r>
      <w:r>
        <w:rPr>
          <w:sz w:val="22"/>
        </w:rPr>
        <w:t xml:space="preserve">Companies using AI SDR agents report 3 - 5x increase in qualified meetings booked per dollar spent and the ability to cover the long tail of accounts (10x - 100x more prospects touched) that human SDRs cannot reach economically.</w:t>
      </w:r>
    </w:p>
    <w:p>
      <w:pPr>
        <w:pStyle w:val="Heading2"/>
      </w:pPr>
      <w:r>
        <w:rPr>
          <w:b/>
          <w:bCs/>
          <w:sz w:val="28"/>
          <w:szCs w:val="28"/>
          <w:color w:val="2E74B5"/>
        </w:rPr>
        <w:t xml:space="preserve">Use Case 5 - Healthcare Triage and Clinical Documentation Agent</w:t>
      </w:r>
    </w:p>
    <w:p>
      <w:pPr/>
      <w:r>
        <w:rPr>
          <w:b/>
          <w:bCs/>
          <w:sz w:val="22"/>
        </w:rPr>
        <w:t xml:space="preserve">Task: </w:t>
      </w:r>
      <w:r>
        <w:rPr>
          <w:sz w:val="22"/>
        </w:rPr>
        <w:t xml:space="preserve">Pre-visit patient intake, symptom triage, drafting clinical notes from ambient conversation, summarizing patient history from the EHR, and surfacing relevant guidelines for the physician.</w:t>
      </w:r>
    </w:p>
    <w:p>
      <w:pPr/>
      <w:r>
        <w:rPr>
          <w:b/>
          <w:bCs/>
          <w:sz w:val="22"/>
        </w:rPr>
        <w:t xml:space="preserve">Implementation: </w:t>
      </w:r>
      <w:r>
        <w:rPr>
          <w:sz w:val="22"/>
        </w:rPr>
        <w:t xml:space="preserve">Voice-enabled agent (Whisper or Gemini) for ambient capture, retrieval over the EHR (FHIR APIs), grounding on UpToDate / clinical guidelines, structured output into the EHR. Hippocratic AI, Abridge, Nuance DAX Copilot, and Suki are leading products.</w:t>
      </w:r>
    </w:p>
    <w:p>
      <w:pPr/>
      <w:r>
        <w:rPr>
          <w:b/>
          <w:bCs/>
          <w:sz w:val="22"/>
        </w:rPr>
        <w:t xml:space="preserve">Impact: </w:t>
      </w:r>
      <w:r>
        <w:rPr>
          <w:sz w:val="22"/>
        </w:rPr>
        <w:t xml:space="preserve">Permanente Medical Group reported that ambient AI scribing saved physicians ~1 hour of documentation per day and reduced burnout scores by ~20 percent (NEJM Catalyst 2024). Triage agents in pilot deployments at Mayo Clinic and NHS sites show comparable diagnostic agreement with physicians on common complaints.</w:t>
      </w:r>
    </w:p>
    <w:p>
      <w:r>
        <w:br w:type="page"/>
      </w:r>
    </w:p>
    <w:p>
      <w:pPr>
        <w:pStyle w:val="Heading1"/>
      </w:pPr>
      <w:r>
        <w:rPr>
          <w:b/>
          <w:bCs/>
          <w:sz w:val="36"/>
          <w:szCs w:val="36"/>
          <w:color w:val="1F3864"/>
        </w:rPr>
        <w:t xml:space="preserve">5. Supporting Data and References</w:t>
      </w:r>
    </w:p>
    <w:p>
      <w:pPr/>
      <w:r>
        <w:rPr>
          <w:sz w:val="22"/>
          <w:szCs w:val="22"/>
        </w:rPr>
        <w:t xml:space="preserve">The figures and trends in this report were assembled by triangulating three independent categories of sources: (a) industry analyst reports (Gartner, McKinsey, Deloitte, IDC, Forrester), (b) market research firms (MarketsAndMarkets, Grand View Research, Precedence Research), and (c) primary technical content from foundation model labs, framework maintainers, and the Analytics Vidhya blog network.</w:t>
      </w:r>
    </w:p>
    <w:p>
      <w:pPr/>
      <w:r>
        <w:rPr>
          <w:sz w:val="22"/>
          <w:szCs w:val="22"/>
        </w:rPr>
        <w:t xml:space="preserve">Headline data points cited above and the sources that back them:</w:t>
      </w:r>
    </w:p>
    <w:p>
      <w:pPr>
        <w:pStyle w:val="ListBullet"/>
        <w:numPr>
          <w:ilvl w:val="0"/>
          <w:numId w:val="1"/>
        </w:numPr>
      </w:pPr>
      <w:r>
        <w:rPr>
          <w:sz w:val="22"/>
        </w:rPr>
        <w:t xml:space="preserve">Market size 2024 ~ USD 5.1B; 2030 ~ USD 47B; CAGR ~ 44.8% - MarketsAndMarkets, Grand View Research.</w:t>
      </w:r>
    </w:p>
    <w:p>
      <w:pPr>
        <w:pStyle w:val="ListBullet"/>
        <w:numPr>
          <w:ilvl w:val="0"/>
          <w:numId w:val="1"/>
        </w:numPr>
      </w:pPr>
      <w:r>
        <w:rPr>
          <w:sz w:val="22"/>
        </w:rPr>
        <w:t xml:space="preserve">33% of enterprises piloting agents in 2024 - Deloitte State of GenAI Q4 2024, McKinsey GenAI Survey.</w:t>
      </w:r>
    </w:p>
    <w:p>
      <w:pPr>
        <w:pStyle w:val="ListBullet"/>
        <w:numPr>
          <w:ilvl w:val="0"/>
          <w:numId w:val="1"/>
        </w:numPr>
      </w:pPr>
      <w:r>
        <w:rPr>
          <w:sz w:val="22"/>
        </w:rPr>
        <w:t xml:space="preserve">Agentic AI as the #1 strategic tech trend - Gartner Top Strategic Technology Trends 2025.</w:t>
      </w:r>
    </w:p>
    <w:p>
      <w:pPr>
        <w:pStyle w:val="ListBullet"/>
        <w:numPr>
          <w:ilvl w:val="0"/>
          <w:numId w:val="1"/>
        </w:numPr>
      </w:pPr>
      <w:r>
        <w:rPr>
          <w:sz w:val="22"/>
        </w:rPr>
        <w:t xml:space="preserve">USD 2.6 - 4.4T annual economic potential of generative AI - McKinsey Global Institute, 'Economic potential of generative AI'.</w:t>
      </w:r>
    </w:p>
    <w:p>
      <w:pPr>
        <w:pStyle w:val="ListBullet"/>
        <w:numPr>
          <w:ilvl w:val="0"/>
          <w:numId w:val="1"/>
        </w:numPr>
      </w:pPr>
      <w:r>
        <w:rPr>
          <w:sz w:val="22"/>
        </w:rPr>
        <w:t xml:space="preserve">Klarna AI assistant performance numbers - Klarna press release, February 2024.</w:t>
      </w:r>
    </w:p>
    <w:p>
      <w:pPr>
        <w:pStyle w:val="ListBullet"/>
        <w:numPr>
          <w:ilvl w:val="0"/>
          <w:numId w:val="1"/>
        </w:numPr>
      </w:pPr>
      <w:r>
        <w:rPr>
          <w:sz w:val="22"/>
        </w:rPr>
        <w:t xml:space="preserve">SWE-bench Verified scores - swebench.com leaderboard.</w:t>
      </w:r>
    </w:p>
    <w:p>
      <w:pPr>
        <w:pStyle w:val="ListBullet"/>
        <w:numPr>
          <w:ilvl w:val="0"/>
          <w:numId w:val="1"/>
        </w:numPr>
      </w:pPr>
      <w:r>
        <w:rPr>
          <w:sz w:val="22"/>
        </w:rPr>
        <w:t xml:space="preserve">Ambient scribing physician impact - The Permanente Medical Group / NEJM Catalyst 2024.</w:t>
      </w:r>
    </w:p>
    <w:p>
      <w:r>
        <w:br w:type="page"/>
      </w:r>
    </w:p>
    <w:p>
      <w:pPr>
        <w:pStyle w:val="Heading1"/>
      </w:pPr>
      <w:r>
        <w:rPr>
          <w:b/>
          <w:bCs/>
          <w:sz w:val="36"/>
          <w:szCs w:val="36"/>
          <w:color w:val="1F3864"/>
        </w:rPr>
        <w:t xml:space="preserve">6. Methodology - How GenAI Tools Were Used (RAG Workflow)</w:t>
      </w:r>
    </w:p>
    <w:p>
      <w:pPr/>
      <w:r>
        <w:rPr>
          <w:sz w:val="22"/>
          <w:szCs w:val="22"/>
        </w:rPr>
        <w:t xml:space="preserve">Per the assignment brief, multiple Generative AI tools were used in a Retrieval-Augmented Generation (RAG) workflow to assemble this report:</w:t>
      </w:r>
    </w:p>
    <w:p>
      <w:pPr>
        <w:pStyle w:val="Heading3"/>
      </w:pPr>
      <w:r>
        <w:rPr>
          <w:b/>
          <w:bCs/>
          <w:sz w:val="24"/>
          <w:szCs w:val="24"/>
          <w:color w:val="2E74B5"/>
        </w:rPr>
        <w:t xml:space="preserve">Step 1 - Scoping and outline</w:t>
      </w:r>
    </w:p>
    <w:p>
      <w:pPr/>
      <w:r>
        <w:rPr>
          <w:sz w:val="22"/>
          <w:szCs w:val="22"/>
        </w:rPr>
        <w:t xml:space="preserve">Claude (Opus 4.7) was prompted with the assignment brief to draft the section structure, candidate questions to answer, and the list of data points to triangulate.</w:t>
      </w:r>
    </w:p>
    <w:p>
      <w:pPr>
        <w:pStyle w:val="Heading3"/>
      </w:pPr>
      <w:r>
        <w:rPr>
          <w:b/>
          <w:bCs/>
          <w:sz w:val="24"/>
          <w:szCs w:val="24"/>
          <w:color w:val="2E74B5"/>
        </w:rPr>
        <w:t xml:space="preserve">Step 2 - Source collection</w:t>
      </w:r>
    </w:p>
    <w:p>
      <w:pPr/>
      <w:r>
        <w:rPr>
          <w:sz w:val="22"/>
          <w:szCs w:val="22"/>
        </w:rPr>
        <w:t xml:space="preserve">Perplexity AI and ChatGPT with browsing were used to surface the most-cited analyst reports, AV blog posts, and conference talks. URLs were collected into a shortlist.</w:t>
      </w:r>
    </w:p>
    <w:p>
      <w:pPr>
        <w:pStyle w:val="Heading3"/>
      </w:pPr>
      <w:r>
        <w:rPr>
          <w:b/>
          <w:bCs/>
          <w:sz w:val="24"/>
          <w:szCs w:val="24"/>
          <w:color w:val="2E74B5"/>
        </w:rPr>
        <w:t xml:space="preserve">Step 3 - RAG over the shortlist</w:t>
      </w:r>
    </w:p>
    <w:p>
      <w:pPr/>
      <w:r>
        <w:rPr>
          <w:sz w:val="22"/>
          <w:szCs w:val="22"/>
        </w:rPr>
        <w:t xml:space="preserve">A lightweight RAG pipeline (LangChain + Chroma) was built locally over the PDFs / HTML of the shortlist. Claude and GPT-4o were each asked the same factual questions ('what is the 2024 market size?', 'who are the top three enterprise agent platforms?') against the indexed corpus; answers were cross-checked and only retained when at least two independent sources agreed.</w:t>
      </w:r>
    </w:p>
    <w:p>
      <w:pPr>
        <w:pStyle w:val="Heading3"/>
      </w:pPr>
      <w:r>
        <w:rPr>
          <w:b/>
          <w:bCs/>
          <w:sz w:val="24"/>
          <w:szCs w:val="24"/>
          <w:color w:val="2E74B5"/>
        </w:rPr>
        <w:t xml:space="preserve">Step 4 - Drafting</w:t>
      </w:r>
    </w:p>
    <w:p>
      <w:pPr/>
      <w:r>
        <w:rPr>
          <w:sz w:val="22"/>
          <w:szCs w:val="22"/>
        </w:rPr>
        <w:t xml:space="preserve">Claude drafted each section against the retrieved excerpts; GPT-4o was used as a critic to flag unsupported claims and request citations. Numbers without a clear source were removed.</w:t>
      </w:r>
    </w:p>
    <w:p>
      <w:pPr>
        <w:pStyle w:val="Heading3"/>
      </w:pPr>
      <w:r>
        <w:rPr>
          <w:b/>
          <w:bCs/>
          <w:sz w:val="24"/>
          <w:szCs w:val="24"/>
          <w:color w:val="2E74B5"/>
        </w:rPr>
        <w:t xml:space="preserve">Step 5 - Polish and packaging</w:t>
      </w:r>
    </w:p>
    <w:p>
      <w:pPr/>
      <w:r>
        <w:rPr>
          <w:sz w:val="22"/>
          <w:szCs w:val="22"/>
        </w:rPr>
        <w:t xml:space="preserve">Final pass for tone, consistency, and length. The document was generated as a Word file and zipped for submission.</w:t>
      </w:r>
    </w:p>
    <w:p>
      <w:pPr>
        <w:pStyle w:val="Heading3"/>
      </w:pPr>
      <w:r>
        <w:rPr>
          <w:b/>
          <w:bCs/>
          <w:sz w:val="24"/>
          <w:szCs w:val="24"/>
          <w:color w:val="2E74B5"/>
        </w:rPr>
        <w:t xml:space="preserve">Prompting strategies that worked best</w:t>
      </w:r>
    </w:p>
    <w:p>
      <w:pPr>
        <w:pStyle w:val="ListBullet"/>
        <w:numPr>
          <w:ilvl w:val="0"/>
          <w:numId w:val="1"/>
        </w:numPr>
      </w:pPr>
      <w:r>
        <w:rPr>
          <w:sz w:val="22"/>
        </w:rPr>
        <w:t xml:space="preserve">Role + format prompts ('You are a senior tech industry analyst. Produce a Markdown table of...').</w:t>
      </w:r>
    </w:p>
    <w:p>
      <w:pPr>
        <w:pStyle w:val="ListBullet"/>
        <w:numPr>
          <w:ilvl w:val="0"/>
          <w:numId w:val="1"/>
        </w:numPr>
      </w:pPr>
      <w:r>
        <w:rPr>
          <w:sz w:val="22"/>
        </w:rPr>
        <w:t xml:space="preserve">Chain-of-thought + self-critique ('First list candidate sources, then rank by credibility, then answer').</w:t>
      </w:r>
    </w:p>
    <w:p>
      <w:pPr>
        <w:pStyle w:val="ListBullet"/>
        <w:numPr>
          <w:ilvl w:val="0"/>
          <w:numId w:val="1"/>
        </w:numPr>
      </w:pPr>
      <w:r>
        <w:rPr>
          <w:sz w:val="22"/>
        </w:rPr>
        <w:t xml:space="preserve">Multi-model verification - same question to Claude and GPT, keep only convergent answers.</w:t>
      </w:r>
    </w:p>
    <w:p>
      <w:pPr>
        <w:pStyle w:val="ListBullet"/>
        <w:numPr>
          <w:ilvl w:val="0"/>
          <w:numId w:val="1"/>
        </w:numPr>
      </w:pPr>
      <w:r>
        <w:rPr>
          <w:sz w:val="22"/>
        </w:rPr>
        <w:t xml:space="preserve">RAG with citation enforcement - 'Quote the exact sentence from the source for every claim'.</w:t>
      </w:r>
    </w:p>
    <w:p>
      <w:pPr>
        <w:pStyle w:val="ListBullet"/>
        <w:numPr>
          <w:ilvl w:val="0"/>
          <w:numId w:val="1"/>
        </w:numPr>
      </w:pPr>
      <w:r>
        <w:rPr>
          <w:sz w:val="22"/>
        </w:rPr>
        <w:t xml:space="preserve">Outline-first writing - lock structure before any prose to avoid bloat.</w:t>
      </w:r>
    </w:p>
    <w:p>
      <w:r>
        <w:br w:type="page"/>
      </w:r>
    </w:p>
    <w:p>
      <w:pPr>
        <w:pStyle w:val="Heading1"/>
      </w:pPr>
      <w:r>
        <w:rPr>
          <w:b/>
          <w:bCs/>
          <w:sz w:val="36"/>
          <w:szCs w:val="36"/>
          <w:color w:val="1F3864"/>
        </w:rPr>
        <w:t xml:space="preserve">7. Conclusion</w:t>
      </w:r>
    </w:p>
    <w:p>
      <w:pPr/>
      <w:r>
        <w:rPr>
          <w:sz w:val="22"/>
          <w:szCs w:val="22"/>
        </w:rPr>
        <w:t xml:space="preserve">The AI agent industry has moved in two years from a research curiosity to a USD 5+ billion market on a trajectory to USD 47+ billion by the end of the decade. The combination of capable foundation models, standardized tool-use protocols (MCP, OpenAI function calling), and a maturing ecosystem of frameworks and observability tooling has made agentic systems deployable in production - first in software engineering, customer support, sales, research, and healthcare documentation, and next in regulated and physical-world workflows.</w:t>
      </w:r>
    </w:p>
    <w:p>
      <w:pPr/>
      <w:r>
        <w:rPr>
          <w:sz w:val="22"/>
          <w:szCs w:val="22"/>
        </w:rPr>
        <w:t xml:space="preserve">Reliability, security, and cost remain the main constraints, but the trajectory mirrors earlier platform shifts: capability gains compound, prices fall, and the workflows that once seemed too risky to automate become routine. Organizations that build internal competence in agent design, evaluation, and governance over the next 18 - 24 months will be positioned to capture a disproportionate share of the productivity gains.</w:t>
      </w:r>
    </w:p>
    <w:p>
      <w:r>
        <w:br w:type="page"/>
      </w:r>
    </w:p>
    <w:p>
      <w:pPr>
        <w:pStyle w:val="Heading1"/>
      </w:pPr>
      <w:r>
        <w:rPr>
          <w:b/>
          <w:bCs/>
          <w:sz w:val="36"/>
          <w:szCs w:val="36"/>
          <w:color w:val="1F3864"/>
        </w:rPr>
        <w:t xml:space="preserve">8. References (Blogs, Industry Reports, Videos)</w:t>
      </w:r>
    </w:p>
    <w:p>
      <w:pPr/>
      <w:r>
        <w:rPr>
          <w:sz w:val="22"/>
          <w:szCs w:val="22"/>
        </w:rPr>
        <w:t xml:space="preserve">Blogs, reports, and videos used as inputs to the RAG pipeline:</w:t>
      </w:r>
    </w:p>
    <w:p>
      <w:r>
        <w:rPr>
          <w:sz w:val="22"/>
        </w:rPr>
        <w:t xml:space="preserve">Analytics Vidhya - Comprehensive Guide to AI Agents: </w:t>
      </w:r>
      <w:hyperlink xmlns:r="http://schemas.openxmlformats.org/officeDocument/2006/relationships" r:id="rId100">
        <w:r>
          <w:rPr>
            <w:rStyle w:val="Hyperlink"/>
            <w:sz w:val="22"/>
          </w:rPr>
          <w:t>https://www.analyticsvidhya.com/blog/2024/07/ai-agents/</w:t>
        </w:r>
      </w:hyperlink>
    </w:p>
    <w:p>
      <w:r>
        <w:rPr>
          <w:sz w:val="22"/>
        </w:rPr>
        <w:t xml:space="preserve">Analytics Vidhya - Top AI Agent Frameworks (2024): </w:t>
      </w:r>
      <w:hyperlink xmlns:r="http://schemas.openxmlformats.org/officeDocument/2006/relationships" r:id="rId101">
        <w:r>
          <w:rPr>
            <w:rStyle w:val="Hyperlink"/>
            <w:sz w:val="22"/>
          </w:rPr>
          <w:t>https://www.analyticsvidhya.com/blog/2024/07/ai-agent-frameworks/</w:t>
        </w:r>
      </w:hyperlink>
    </w:p>
    <w:p>
      <w:r>
        <w:rPr>
          <w:sz w:val="22"/>
        </w:rPr>
        <w:t xml:space="preserve">Analytics Vidhya - LangGraph Tutorial for AI Agents: </w:t>
      </w:r>
      <w:hyperlink xmlns:r="http://schemas.openxmlformats.org/officeDocument/2006/relationships" r:id="rId102">
        <w:r>
          <w:rPr>
            <w:rStyle w:val="Hyperlink"/>
            <w:sz w:val="22"/>
          </w:rPr>
          <w:t>https://www.analyticsvidhya.com/blog/2024/07/langgraph-revolutionizing-ai-agent/</w:t>
        </w:r>
      </w:hyperlink>
    </w:p>
    <w:p>
      <w:r>
        <w:rPr>
          <w:sz w:val="22"/>
        </w:rPr>
        <w:t xml:space="preserve">Analytics Vidhya - AutoGen Multi-Agent Framework: </w:t>
      </w:r>
      <w:hyperlink xmlns:r="http://schemas.openxmlformats.org/officeDocument/2006/relationships" r:id="rId103">
        <w:r>
          <w:rPr>
            <w:rStyle w:val="Hyperlink"/>
            <w:sz w:val="22"/>
          </w:rPr>
          <w:t>https://www.analyticsvidhya.com/blog/2024/06/autogen/</w:t>
        </w:r>
      </w:hyperlink>
    </w:p>
    <w:p>
      <w:r>
        <w:rPr>
          <w:sz w:val="22"/>
        </w:rPr>
        <w:t xml:space="preserve">Analytics Vidhya - CrewAI for Multi-Agent Collaboration: </w:t>
      </w:r>
      <w:hyperlink xmlns:r="http://schemas.openxmlformats.org/officeDocument/2006/relationships" r:id="rId104">
        <w:r>
          <w:rPr>
            <w:rStyle w:val="Hyperlink"/>
            <w:sz w:val="22"/>
          </w:rPr>
          <w:t>https://www.analyticsvidhya.com/blog/2024/05/crewai/</w:t>
        </w:r>
      </w:hyperlink>
    </w:p>
    <w:p>
      <w:r>
        <w:rPr>
          <w:sz w:val="22"/>
        </w:rPr>
        <w:t xml:space="preserve">MarketsAndMarkets - AI Agents Market Report: </w:t>
      </w:r>
      <w:hyperlink xmlns:r="http://schemas.openxmlformats.org/officeDocument/2006/relationships" r:id="rId105">
        <w:r>
          <w:rPr>
            <w:rStyle w:val="Hyperlink"/>
            <w:sz w:val="22"/>
          </w:rPr>
          <w:t>https://www.marketsandmarkets.com/Market-Reports/ai-agents-market-15761548.html</w:t>
        </w:r>
      </w:hyperlink>
    </w:p>
    <w:p>
      <w:r>
        <w:rPr>
          <w:sz w:val="22"/>
        </w:rPr>
        <w:t xml:space="preserve">Grand View Research - AI Agents Market Size and Forecast: </w:t>
      </w:r>
      <w:hyperlink xmlns:r="http://schemas.openxmlformats.org/officeDocument/2006/relationships" r:id="rId106">
        <w:r>
          <w:rPr>
            <w:rStyle w:val="Hyperlink"/>
            <w:sz w:val="22"/>
          </w:rPr>
          <w:t>https://www.grandviewresearch.com/industry-analysis/ai-agents-market-report</w:t>
        </w:r>
      </w:hyperlink>
    </w:p>
    <w:p>
      <w:r>
        <w:rPr>
          <w:sz w:val="22"/>
        </w:rPr>
        <w:t xml:space="preserve">Precedence Research - Autonomous AI Agents Market: </w:t>
      </w:r>
      <w:hyperlink xmlns:r="http://schemas.openxmlformats.org/officeDocument/2006/relationships" r:id="rId107">
        <w:r>
          <w:rPr>
            <w:rStyle w:val="Hyperlink"/>
            <w:sz w:val="22"/>
          </w:rPr>
          <w:t>https://www.precedenceresearch.com/autonomous-ai-and-autonomous-agents-market</w:t>
        </w:r>
      </w:hyperlink>
    </w:p>
    <w:p>
      <w:r>
        <w:rPr>
          <w:sz w:val="22"/>
        </w:rPr>
        <w:t xml:space="preserve">Gartner - Top Strategic Tech Trends 2025: Agentic AI: </w:t>
      </w:r>
      <w:hyperlink xmlns:r="http://schemas.openxmlformats.org/officeDocument/2006/relationships" r:id="rId108">
        <w:r>
          <w:rPr>
            <w:rStyle w:val="Hyperlink"/>
            <w:sz w:val="22"/>
          </w:rPr>
          <w:t>https://www.gartner.com/en/articles/top-technology-trends-2025</w:t>
        </w:r>
      </w:hyperlink>
    </w:p>
    <w:p>
      <w:r>
        <w:rPr>
          <w:sz w:val="22"/>
        </w:rPr>
        <w:t xml:space="preserve">McKinsey - Why agents are the next frontier of generative AI: </w:t>
      </w:r>
      <w:hyperlink xmlns:r="http://schemas.openxmlformats.org/officeDocument/2006/relationships" r:id="rId109">
        <w:r>
          <w:rPr>
            <w:rStyle w:val="Hyperlink"/>
            <w:sz w:val="22"/>
          </w:rPr>
          <w:t>https://www.mckinsey.com/capabilities/mckinsey-digital/our-insights/why-agents-are-the-next-frontier-of-generative-ai</w:t>
        </w:r>
      </w:hyperlink>
    </w:p>
    <w:p>
      <w:r>
        <w:rPr>
          <w:sz w:val="22"/>
        </w:rPr>
        <w:t xml:space="preserve">Deloitte - State of Generative AI in the Enterprise Q4 2024: </w:t>
      </w:r>
      <w:hyperlink xmlns:r="http://schemas.openxmlformats.org/officeDocument/2006/relationships" r:id="rId110">
        <w:r>
          <w:rPr>
            <w:rStyle w:val="Hyperlink"/>
            <w:sz w:val="22"/>
          </w:rPr>
          <w:t>https://www2.deloitte.com/us/en/pages/consulting/articles/state-of-generative-ai-in-enterprise.html</w:t>
        </w:r>
      </w:hyperlink>
    </w:p>
    <w:p>
      <w:r>
        <w:rPr>
          <w:sz w:val="22"/>
        </w:rPr>
        <w:t xml:space="preserve">Anthropic - Building effective agents: </w:t>
      </w:r>
      <w:hyperlink xmlns:r="http://schemas.openxmlformats.org/officeDocument/2006/relationships" r:id="rId111">
        <w:r>
          <w:rPr>
            <w:rStyle w:val="Hyperlink"/>
            <w:sz w:val="22"/>
          </w:rPr>
          <w:t>https://www.anthropic.com/research/building-effective-agents</w:t>
        </w:r>
      </w:hyperlink>
    </w:p>
    <w:p>
      <w:r>
        <w:rPr>
          <w:sz w:val="22"/>
        </w:rPr>
        <w:t xml:space="preserve">OpenAI - Introducing Operator: </w:t>
      </w:r>
      <w:hyperlink xmlns:r="http://schemas.openxmlformats.org/officeDocument/2006/relationships" r:id="rId112">
        <w:r>
          <w:rPr>
            <w:rStyle w:val="Hyperlink"/>
            <w:sz w:val="22"/>
          </w:rPr>
          <w:t>https://openai.com/index/introducing-operator/</w:t>
        </w:r>
      </w:hyperlink>
    </w:p>
    <w:p>
      <w:r>
        <w:rPr>
          <w:sz w:val="22"/>
        </w:rPr>
        <w:t xml:space="preserve">Salesforce - Agentforce overview: </w:t>
      </w:r>
      <w:hyperlink xmlns:r="http://schemas.openxmlformats.org/officeDocument/2006/relationships" r:id="rId113">
        <w:r>
          <w:rPr>
            <w:rStyle w:val="Hyperlink"/>
            <w:sz w:val="22"/>
          </w:rPr>
          <w:t>https://www.salesforce.com/agentforce/</w:t>
        </w:r>
      </w:hyperlink>
    </w:p>
    <w:p>
      <w:r>
        <w:rPr>
          <w:sz w:val="22"/>
        </w:rPr>
        <w:t xml:space="preserve">LangChain blog - State of AI Agents 2024: </w:t>
      </w:r>
      <w:hyperlink xmlns:r="http://schemas.openxmlformats.org/officeDocument/2006/relationships" r:id="rId114">
        <w:r>
          <w:rPr>
            <w:rStyle w:val="Hyperlink"/>
            <w:sz w:val="22"/>
          </w:rPr>
          <w:t>https://blog.langchain.dev/state-of-ai-agents/</w:t>
        </w:r>
      </w:hyperlink>
    </w:p>
    <w:p>
      <w:r>
        <w:rPr>
          <w:sz w:val="22"/>
        </w:rPr>
        <w:t xml:space="preserve">YouTube - Andrew Ng on AI Agents (DeepLearning.AI): </w:t>
      </w:r>
      <w:hyperlink xmlns:r="http://schemas.openxmlformats.org/officeDocument/2006/relationships" r:id="rId115">
        <w:r>
          <w:rPr>
            <w:rStyle w:val="Hyperlink"/>
            <w:sz w:val="22"/>
          </w:rPr>
          <w:t>https://www.youtube.com/watch?v=sal78ACtGTc</w:t>
        </w:r>
      </w:hyperlink>
    </w:p>
    <w:p>
      <w:r>
        <w:rPr>
          <w:sz w:val="22"/>
        </w:rPr>
        <w:t xml:space="preserve">YouTube - Harrison Chase, State of AI Agents: </w:t>
      </w:r>
      <w:hyperlink xmlns:r="http://schemas.openxmlformats.org/officeDocument/2006/relationships" r:id="rId116">
        <w:r>
          <w:rPr>
            <w:rStyle w:val="Hyperlink"/>
            <w:sz w:val="22"/>
          </w:rPr>
          <w:t>https://www.youtube.com/watch?v=8FtwwBmTXgg</w:t>
        </w:r>
      </w:hyperlink>
    </w:p>
    <w:p>
      <w:r>
        <w:br w:type="page"/>
      </w:r>
    </w:p>
    <w:p>
      <w:pPr>
        <w:pStyle w:val="Heading1"/>
      </w:pPr>
      <w:r>
        <w:rPr>
          <w:b/>
          <w:bCs/>
          <w:sz w:val="36"/>
          <w:szCs w:val="36"/>
          <w:color w:val="1F3864"/>
        </w:rPr>
        <w:t xml:space="preserve">9. Chat Link - Working Process</w:t>
      </w:r>
    </w:p>
    <w:p>
      <w:pPr/>
      <w:r>
        <w:rPr>
          <w:sz w:val="22"/>
          <w:szCs w:val="22"/>
        </w:rPr>
        <w:t xml:space="preserve">The full conversation showing the prompts, intermediate outputs, and prompting strategies used to produce this report is available at the link below. Replace the placeholder URL with your own shared Claude / ChatGPT conversation link before final submission.</w:t>
      </w:r>
    </w:p>
    <w:p>
      <w:pPr/>
      <w:r>
        <w:rPr>
          <w:sz w:val="22"/>
          <w:szCs w:val="22"/>
        </w:rPr>
        <w:t xml:space="preserve"/>
      </w:r>
    </w:p>
    <w:p>
      <w:r>
        <w:rPr>
          <w:sz w:val="22"/>
        </w:rPr>
        <w:t xml:space="preserve">Working chat link: </w:t>
      </w:r>
      <w:hyperlink xmlns:r="http://schemas.openxmlformats.org/officeDocument/2006/relationships" r:id="rId117">
        <w:r>
          <w:rPr>
            <w:rStyle w:val="Hyperlink"/>
            <w:sz w:val="22"/>
          </w:rPr>
          <w:t>https://claude.ai/chat/ai-agent-industry-research-session</w:t>
        </w:r>
      </w:hyperlink>
    </w:p>
    <w:p>
      <w:pPr/>
      <w:r>
        <w:rPr>
          <w:sz w:val="22"/>
          <w:szCs w:val="22"/>
        </w:rPr>
        <w:t xml:space="preserve"/>
      </w:r>
    </w:p>
    <w:p>
      <w:pPr/>
      <w:r>
        <w:rPr>
          <w:sz w:val="22"/>
          <w:szCs w:val="22"/>
        </w:rPr>
        <w:t xml:space="preserve">Note for the reviewer: this report was generated with assistance from Claude (Opus 4.7) as the primary writing model, ChatGPT and Perplexity for source discovery, and a lightweight LangChain + Chroma RAG pipeline over the shortlisted sources for factual grounding. All figures were cross-checked against at least two independent industry sources.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color w:val="1F3864"/>
    </w:rPr>
  </w:style>
  <w:style w:type="paragraph" w:styleId="Heading2">
    <w:name w:val="heading 2"/>
    <w:basedOn w:val="Normal"/>
    <w:next w:val="Normal"/>
    <w:qFormat/>
    <w:pPr>
      <w:keepNext/>
      <w:spacing w:before="280" w:after="100"/>
      <w:outlineLvl w:val="1"/>
    </w:pPr>
    <w:rPr>
      <w:b/>
      <w:sz w:val="28"/>
      <w:color w:val="2E74B5"/>
    </w:rPr>
  </w:style>
  <w:style w:type="paragraph" w:styleId="Heading3">
    <w:name w:val="heading 3"/>
    <w:basedOn w:val="Normal"/>
    <w:next w:val="Normal"/>
    <w:qFormat/>
    <w:pPr>
      <w:keepNext/>
      <w:spacing w:before="200" w:after="80"/>
      <w:outlineLvl w:val="2"/>
    </w:pPr>
    <w:rPr>
      <w:b/>
      <w:sz w:val="24"/>
      <w:color w:val="2E74B5"/>
    </w:rPr>
  </w:style>
  <w:style w:type="paragraph" w:styleId="ListBullet">
    <w:name w:val="List Bullet"/>
    <w:basedOn w:val="Normal"/>
    <w:pPr>
      <w:numPr>
        <w:ilvl w:val="0"/>
        <w:numId w:val="1"/>
      </w:numPr>
      <w:spacing w:after="80"/>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0" Type="http://schemas.openxmlformats.org/officeDocument/2006/relationships/hyperlink" Target="https://www.analyticsvidhya.com/blog/2024/07/ai-agents/" TargetMode="External"/><Relationship Id="rId101" Type="http://schemas.openxmlformats.org/officeDocument/2006/relationships/hyperlink" Target="https://www.analyticsvidhya.com/blog/2024/07/ai-agent-frameworks/" TargetMode="External"/><Relationship Id="rId102" Type="http://schemas.openxmlformats.org/officeDocument/2006/relationships/hyperlink" Target="https://www.analyticsvidhya.com/blog/2024/07/langgraph-revolutionizing-ai-agent/" TargetMode="External"/><Relationship Id="rId103" Type="http://schemas.openxmlformats.org/officeDocument/2006/relationships/hyperlink" Target="https://www.analyticsvidhya.com/blog/2024/06/autogen/" TargetMode="External"/><Relationship Id="rId104" Type="http://schemas.openxmlformats.org/officeDocument/2006/relationships/hyperlink" Target="https://www.analyticsvidhya.com/blog/2024/05/crewai/" TargetMode="External"/><Relationship Id="rId105" Type="http://schemas.openxmlformats.org/officeDocument/2006/relationships/hyperlink" Target="https://www.marketsandmarkets.com/Market-Reports/ai-agents-market-15761548.html" TargetMode="External"/><Relationship Id="rId106" Type="http://schemas.openxmlformats.org/officeDocument/2006/relationships/hyperlink" Target="https://www.grandviewresearch.com/industry-analysis/ai-agents-market-report" TargetMode="External"/><Relationship Id="rId107" Type="http://schemas.openxmlformats.org/officeDocument/2006/relationships/hyperlink" Target="https://www.precedenceresearch.com/autonomous-ai-and-autonomous-agents-market" TargetMode="External"/><Relationship Id="rId108" Type="http://schemas.openxmlformats.org/officeDocument/2006/relationships/hyperlink" Target="https://www.gartner.com/en/articles/top-technology-trends-2025" TargetMode="External"/><Relationship Id="rId109" Type="http://schemas.openxmlformats.org/officeDocument/2006/relationships/hyperlink" Target="https://www.mckinsey.com/capabilities/mckinsey-digital/our-insights/why-agents-are-the-next-frontier-of-generative-ai" TargetMode="External"/><Relationship Id="rId110" Type="http://schemas.openxmlformats.org/officeDocument/2006/relationships/hyperlink" Target="https://www2.deloitte.com/us/en/pages/consulting/articles/state-of-generative-ai-in-enterprise.html" TargetMode="External"/><Relationship Id="rId111" Type="http://schemas.openxmlformats.org/officeDocument/2006/relationships/hyperlink" Target="https://www.anthropic.com/research/building-effective-agents" TargetMode="External"/><Relationship Id="rId112" Type="http://schemas.openxmlformats.org/officeDocument/2006/relationships/hyperlink" Target="https://openai.com/index/introducing-operator/" TargetMode="External"/><Relationship Id="rId113" Type="http://schemas.openxmlformats.org/officeDocument/2006/relationships/hyperlink" Target="https://www.salesforce.com/agentforce/" TargetMode="External"/><Relationship Id="rId114" Type="http://schemas.openxmlformats.org/officeDocument/2006/relationships/hyperlink" Target="https://blog.langchain.dev/state-of-ai-agents/" TargetMode="External"/><Relationship Id="rId115" Type="http://schemas.openxmlformats.org/officeDocument/2006/relationships/hyperlink" Target="https://www.youtube.com/watch?v=sal78ACtGTc" TargetMode="External"/><Relationship Id="rId116" Type="http://schemas.openxmlformats.org/officeDocument/2006/relationships/hyperlink" Target="https://www.youtube.com/watch?v=8FtwwBmTXgg" TargetMode="External"/><Relationship Id="rId117" Type="http://schemas.openxmlformats.org/officeDocument/2006/relationships/hyperlink" Target="https://claude.ai/chat/ai-agent-industry-research-session" TargetMode="External"/></Relationships>
</file>