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- FICTIONAL FUND CREATED FOR TESTING. NOT A REAL INVESTMENT PRODUCT.</w:t>
      </w:r>
    </w:p>
    <w:p>
      <w:pPr>
        <w:pStyle w:val="Heading1"/>
      </w:pPr>
      <w:r>
        <w:t>Harbor Lane Credit Opportunities Fund II - DDQ Response</w:t>
      </w:r>
    </w:p>
    <w:p>
      <w:pPr>
        <w:pStyle w:val="Heading2"/>
      </w:pPr>
      <w:r>
        <w:t>Overview</w:t>
      </w:r>
    </w:p>
    <w:p>
      <w:r>
        <w:t>The Fund is denominated in euros (EUR). The Fund invests in senior secured loans to European mid-market companies.</w:t>
      </w:r>
    </w:p>
    <w:p>
      <w:pPr>
        <w:pStyle w:val="Heading2"/>
      </w:pPr>
      <w:r>
        <w:t>Key Terms</w:t>
      </w:r>
    </w:p>
    <w:p>
      <w:r>
        <w:t>Table A: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Target size</w:t>
            </w:r>
          </w:p>
        </w:tc>
        <w:tc>
          <w:tcPr>
            <w:tcW w:type="dxa" w:w="4320"/>
          </w:tcPr>
          <w:p>
            <w:r>
              <w:t>EUR 750,000,000</w:t>
            </w:r>
          </w:p>
        </w:tc>
      </w:tr>
      <w:tr>
        <w:tc>
          <w:tcPr>
            <w:tcW w:type="dxa" w:w="4320"/>
          </w:tcPr>
          <w:p>
            <w:r>
              <w:t>Fund term</w:t>
            </w:r>
          </w:p>
        </w:tc>
        <w:tc>
          <w:tcPr>
            <w:tcW w:type="dxa" w:w="4320"/>
          </w:tcPr>
          <w:p>
            <w:r>
              <w:t>7 years from final close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pPr>
        <w:pStyle w:val="Heading2"/>
      </w:pPr>
      <w:r>
        <w:t>Fees</w:t>
      </w:r>
    </w:p>
    <w:p>
      <w:r>
        <w:t>Table B: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Fee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Calculated on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</w:tr>
      <w:tr>
        <w:tc>
          <w:tcPr>
            <w:tcW w:type="dxa" w:w="2160"/>
          </w:tcPr>
          <w:p>
            <w:r>
              <w:t>Management fee</w:t>
            </w:r>
          </w:p>
        </w:tc>
        <w:tc>
          <w:tcPr>
            <w:tcW w:type="dxa" w:w="2160"/>
          </w:tcPr>
          <w:p>
            <w:r>
              <w:t>1.25%</w:t>
            </w:r>
          </w:p>
        </w:tc>
        <w:tc>
          <w:tcPr>
            <w:tcW w:type="dxa" w:w="2160"/>
          </w:tcPr>
          <w:p>
            <w:r>
              <w:t>Invested capital</w:t>
            </w:r>
          </w:p>
        </w:tc>
        <w:tc>
          <w:tcPr>
            <w:tcW w:type="dxa" w:w="2160"/>
          </w:tcPr>
          <w:p>
            <w:r>
              <w:t>Quarterly in arrears</w:t>
            </w:r>
          </w:p>
        </w:tc>
      </w:tr>
      <w:tr>
        <w:tc>
          <w:tcPr>
            <w:tcW w:type="dxa" w:w="2160"/>
          </w:tcPr>
          <w:p>
            <w:r>
              <w:t>Performance fee*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Net returns above a 6% hurdle</w:t>
            </w:r>
          </w:p>
        </w:tc>
        <w:tc>
          <w:tcPr>
            <w:tcW w:type="dxa" w:w="2160"/>
          </w:tcPr>
          <w:p>
            <w:r>
              <w:t>Annually</w:t>
            </w:r>
          </w:p>
        </w:tc>
      </w:tr>
      <w:tr>
        <w:tc>
          <w:tcPr>
            <w:tcW w:type="dxa" w:w="2160"/>
          </w:tcPr>
          <w:p>
            <w:r>
              <w:t>Placement fee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* The hurdle rate is compounded annually.</w:t>
      </w:r>
    </w:p>
    <w:p>
      <w:pPr>
        <w:pStyle w:val="Heading2"/>
      </w:pPr>
      <w:r>
        <w:t>Commitments</w:t>
      </w:r>
    </w:p>
    <w:p>
      <w:r>
        <w:t>The minimum commitment is EUR 2,000,000. The General Partner may, at its discretion, accept commitments of not less than EUR 1,000,000.</w:t>
      </w:r>
    </w:p>
    <w:p>
      <w:pPr>
        <w:pStyle w:val="Heading2"/>
      </w:pPr>
      <w:r>
        <w:t>Portfolio</w:t>
      </w:r>
    </w:p>
    <w:p>
      <w:r>
        <w:t>Table C: Portfolio Statistics (as of 30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Metric</w:t>
            </w:r>
          </w:p>
        </w:tc>
        <w:tc>
          <w:tcPr>
            <w:tcW w:type="dxa" w:w="5760"/>
            <w:gridSpan w:val="2"/>
          </w:tcPr>
          <w:p>
            <w:r>
              <w:t>Vintage fund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Fund I</w:t>
            </w:r>
          </w:p>
        </w:tc>
        <w:tc>
          <w:tcPr>
            <w:tcW w:type="dxa" w:w="2880"/>
          </w:tcPr>
          <w:p>
            <w:r>
              <w:t>Fund II</w:t>
            </w:r>
          </w:p>
        </w:tc>
      </w:tr>
      <w:tr>
        <w:tc>
          <w:tcPr>
            <w:tcW w:type="dxa" w:w="2880"/>
          </w:tcPr>
          <w:p>
            <w:r>
              <w:t>Number of loans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Average loan size (EUR m)</w:t>
            </w:r>
          </w:p>
        </w:tc>
        <w:tc>
          <w:tcPr>
            <w:tcW w:type="dxa" w:w="2880"/>
          </w:tcPr>
          <w:p>
            <w:r>
              <w:t>18.5</w:t>
            </w:r>
          </w:p>
        </w:tc>
        <w:tc>
          <w:tcPr>
            <w:tcW w:type="dxa" w:w="2880"/>
          </w:tcPr>
          <w:p>
            <w:r>
              <w:t>21.0</w:t>
            </w:r>
          </w:p>
        </w:tc>
      </w:tr>
      <w:tr>
        <w:tc>
          <w:tcPr>
            <w:tcW w:type="dxa" w:w="2880"/>
          </w:tcPr>
          <w:p>
            <w:r>
              <w:t>Weighted average yield</w:t>
            </w:r>
          </w:p>
        </w:tc>
        <w:tc>
          <w:tcPr>
            <w:tcW w:type="dxa" w:w="2880"/>
          </w:tcPr>
          <w:p>
            <w:r>
              <w:t>9.1%</w:t>
            </w:r>
          </w:p>
        </w:tc>
        <w:tc>
          <w:tcPr>
            <w:tcW w:type="dxa" w:w="2880"/>
          </w:tcPr>
          <w:p>
            <w:r>
              <w:t>9.8%</w:t>
            </w:r>
          </w:p>
        </w:tc>
      </w:tr>
      <w:tr>
        <w:tc>
          <w:tcPr>
            <w:tcW w:type="dxa" w:w="2880"/>
          </w:tcPr>
          <w:p>
            <w:r>
              <w:t>Default rate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Heading2"/>
      </w:pPr>
      <w:r>
        <w:t>Governance</w:t>
      </w:r>
    </w:p>
    <w:p>
      <w:r>
        <w:t>The Advisory Committee meets twice a year. Under the Limited Partnership Agreement the Fund has a term of eight years, which may be extended with Advisory Committee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