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bm25_probabilistic_formulation (Revised Specification)</w:t>
      </w:r>
    </w:p>
    <w:p>
      <w:r>
        <w:b/>
        <w:t>Domain: Information Retrieval | Document: bm25_probabilistic_formulation_v2.docx</w:t>
      </w:r>
    </w:p>
    <w:p>
      <w:pPr>
        <w:pStyle w:val="Heading2"/>
      </w:pPr>
      <w:r>
        <w:t>Overview and System Specifications</w:t>
      </w:r>
    </w:p>
    <w:p>
      <w:r>
        <w:t>Revised edition: Okapi BM25 scoring formula: inverse document frequency (IDF) saturation and sub-linear term frequency document length normalization. Includes updated benchmarks and latency parameters.</w:t>
      </w:r>
    </w:p>
    <w:p>
      <w:pPr>
        <w:pStyle w:val="Heading2"/>
      </w:pPr>
      <w:r>
        <w:t>Technical Architecture and Evaluation Protocol</w:t>
      </w:r>
    </w:p>
    <w:p>
      <w:r>
        <w:t>This specification is catalogued in IntentCloud for intent-aware hybrid retrieval, supporting query-adaptive recency scoring and multi-graded evaluation across IEEE Phase-1 benchmarks.</w:t>
      </w:r>
    </w:p>
    <w:tbl>
      <w:tr>
        <w:tc>
          <w:p>
            <w:r>
              <w:b/>
              <w:t>Parameter</w:t>
            </w:r>
          </w:p>
        </w:tc>
        <w:tc>
          <w:p>
            <w:r>
              <w:b/>
              <w:t>Target Specification</w:t>
            </w:r>
          </w:p>
        </w:tc>
      </w:tr>
      <w:tr>
        <w:tc>
          <w:p>
            <w:r>
              <w:t>Retrieval Mode</w:t>
            </w:r>
          </w:p>
        </w:tc>
        <w:tc>
          <w:p>
            <w:r>
              <w:t>Mode C: Hybrid RRF (k=60) + Cross-Encoder</w:t>
            </w:r>
          </w:p>
        </w:tc>
      </w:tr>
      <w:tr>
        <w:tc>
          <w:p>
            <w:r>
              <w:t>Target Latency</w:t>
            </w:r>
          </w:p>
        </w:tc>
        <w:tc>
          <w:p>
            <w:r>
              <w:t>&lt;= 15.0 s (Edge Constraint)</w:t>
            </w:r>
          </w:p>
        </w:tc>
      </w:tr>
    </w:tbl>
  </w:body>
</w:document>
</file>