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database_sharding_strategies (Revised Specification)</w:t>
      </w:r>
    </w:p>
    <w:p>
      <w:r>
        <w:b/>
        <w:t>Domain: Software Architecture | Document: database_sharding_strategies_v2.docx</w:t>
      </w:r>
    </w:p>
    <w:p>
      <w:pPr>
        <w:pStyle w:val="Heading2"/>
      </w:pPr>
      <w:r>
        <w:t>Overview and System Specifications</w:t>
      </w:r>
    </w:p>
    <w:p>
      <w:r>
        <w:t>Revised edition: Horizontal database partitioning, consistent hashing rings, virtual nodes, and cross-shard querying trade-offs. Includes updated benchmarks and latency parameters.</w:t>
      </w:r>
    </w:p>
    <w:p>
      <w:pPr>
        <w:pStyle w:val="Heading2"/>
      </w:pPr>
      <w:r>
        <w:t>Technical Architecture and Evaluation Protocol</w:t>
      </w:r>
    </w:p>
    <w:p>
      <w:r>
        <w:t>This specification is catalogued in IntentCloud for intent-aware hybrid retrieval, supporting query-adaptive recency scoring and multi-graded evaluation across IEEE Phase-1 benchmarks.</w:t>
      </w:r>
    </w:p>
    <w:tbl>
      <w:tr>
        <w:tc>
          <w:p>
            <w:r>
              <w:b/>
              <w:t>Parameter</w:t>
            </w:r>
          </w:p>
        </w:tc>
        <w:tc>
          <w:p>
            <w:r>
              <w:b/>
              <w:t>Target Specification</w:t>
            </w:r>
          </w:p>
        </w:tc>
      </w:tr>
      <w:tr>
        <w:tc>
          <w:p>
            <w:r>
              <w:t>Retrieval Mode</w:t>
            </w:r>
          </w:p>
        </w:tc>
        <w:tc>
          <w:p>
            <w:r>
              <w:t>Mode C: Hybrid RRF (k=60) + Cross-Encoder</w:t>
            </w:r>
          </w:p>
        </w:tc>
      </w:tr>
      <w:tr>
        <w:tc>
          <w:p>
            <w:r>
              <w:t>Target Latency</w:t>
            </w:r>
          </w:p>
        </w:tc>
        <w:tc>
          <w:p>
            <w:r>
              <w:t>&lt;= 15.0 s (Edge Constraint)</w:t>
            </w:r>
          </w:p>
        </w:tc>
      </w:tr>
    </w:tbl>
  </w:body>
</w:document>
</file>