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domain_driven_design_patterns (Revised Specification)</w:t>
      </w:r>
    </w:p>
    <w:p>
      <w:r>
        <w:b/>
        <w:t>Domain: Software Architecture | Document: domain_driven_design_patterns_v2.docx</w:t>
      </w:r>
    </w:p>
    <w:p>
      <w:pPr>
        <w:pStyle w:val="Heading2"/>
      </w:pPr>
      <w:r>
        <w:t>Overview and System Specifications</w:t>
      </w:r>
    </w:p>
    <w:p>
      <w:r>
        <w:t>Revised edition: Bounded contexts, aggregates, entities, value objects, and domain events in enterprise domain-driven design.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