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sz w:val="32"/>
          <w:szCs w:val="32"/>
        </w:rPr>
        <w:t xml:space="preserve">RegRAG: Open-Source Reference Implementation for Regulatory RAG</w:t>
      </w:r>
    </w:p>
    <w:p>
      <w:pPr>
        <w:spacing w:after="320"/>
      </w:pPr>
      <w:r>
        <w:rPr>
          <w:color w:val="555555"/>
          <w:sz w:val="20"/>
          <w:szCs w:val="20"/>
        </w:rPr>
        <w:t xml:space="preserve">Author: Sujith Vasireddy   |   Personal project, MIT-licensed   |   May 2026</w:t>
      </w:r>
    </w:p>
    <w:p>
      <w:pPr>
        <w:pStyle w:val="Heading1"/>
        <w:spacing w:after="160" w:before="240"/>
      </w:pPr>
      <w:r>
        <w:t xml:space="preserve">Executive Summary</w:t>
      </w:r>
    </w:p>
    <w:p>
      <w:pPr>
        <w:spacing w:after="120"/>
      </w:pPr>
      <w:r>
        <w:t xml:space="preserve">Over the past several weeks, on personal time, I built and open-sourced an MIT-licensed reference implementation of retrieval-augmented generation (RAG) for US banking regulations. The project, called RegRAG, demonstrates production-grade patterns for bank-grade LLM tooling: verified citations, examiner-grade audit logs, PII scrubbing, evaluation methodology, and model-agnostic deployment that includes an on-premises inference path.</w:t>
      </w:r>
    </w:p>
    <w:p>
      <w:pPr>
        <w:spacing w:after="120"/>
      </w:pPr>
      <w:r>
        <w:t xml:space="preserve">Version 1 covers Regulation E (12 CFR Part 1005) end-to-end. The codebase ships 182 passing unit tests, a 25-question hand-written evaluation gold set, two pipeline modes (deterministic one-shot RAG and an agentic version with tool calling), and adapters for Claude, GPT-4, and local Llama.</w:t>
      </w:r>
    </w:p>
    <w:p>
      <w:pPr>
        <w:spacing w:after="120"/>
      </w:pPr>
      <w:r>
        <w:t xml:space="preserve">I am sharing this with you for awareness and to start a conversation about how the patterns may relate to areas our team or the bank's broader AI initiatives are exploring.</w:t>
      </w:r>
    </w:p>
    <w:p>
      <w:pPr>
        <w:pStyle w:val="Heading1"/>
        <w:spacing w:after="160" w:before="240"/>
      </w:pPr>
      <w:r>
        <w:t xml:space="preserve">Background</w:t>
      </w:r>
    </w:p>
    <w:p>
      <w:pPr>
        <w:spacing w:after="120"/>
      </w:pPr>
      <w:r>
        <w:t xml:space="preserve">Generic large language models are not currently usable for compliance work in a regulated bank context. They hallucinate citations to nonexistent CFR sections, have stale knowledge of amended regulations, produce no audit trail an examiner could replay, cannot meet data-residency requirements, and have no built-in PII handling.</w:t>
      </w:r>
    </w:p>
    <w:p>
      <w:pPr>
        <w:spacing w:after="120"/>
      </w:pPr>
      <w:r>
        <w:t xml:space="preserve">The hard problems in addressing this — hierarchy-preserving chunking of CFR text, verifiable citations, audit logging schemas, PII scrubbing, evaluation methodology for legal Q&amp;A — are patterns rather than proprietary IP. Each engineering team building bank-grade LLM tooling currently rebuilds them from scratch. No strong open-source reference implementation existed.</w:t>
      </w:r>
    </w:p>
    <w:p>
      <w:pPr>
        <w:spacing w:after="120"/>
      </w:pPr>
      <w:r>
        <w:t xml:space="preserve">I built RegRAG as that reference. The work is on personal time, uses only publicly available regulation text (the eCFR XML API), and contains no bank-internal information. It is MIT-licensed.</w:t>
      </w:r>
    </w:p>
    <w:p>
      <w:pPr>
        <w:pStyle w:val="Heading1"/>
        <w:spacing w:after="160" w:before="240"/>
      </w:pPr>
      <w:r>
        <w:t xml:space="preserve">What It Does</w:t>
      </w:r>
    </w:p>
    <w:p>
      <w:pPr>
        <w:spacing w:after="120"/>
      </w:pPr>
      <w:r>
        <w:t xml:space="preserve">The system answers natural-language questions about Regulation E with verified citations, or refuses when it cannot. Both pipeline modes share four properties that distinguish them from generic RAG implementations: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What it does in practice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Citation guarantee (fail-closed)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Every citation the model emits is verified against the regulation text before the answer is returned. If verification fails, the answer is converted to a refusal. Better to refuse than to ship a hallucinated citation.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Hierarchy-preserving chunking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Each chunk carries full structural metadata (Title — Part — Subpart — Section — Paragraph — Official Interpretation Comment), so retrieval respects the legal document structure.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Examiner-grade audit log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Every query produces a JSONL record: PII-scrubbed input, retrieved chunk IDs, prompt template version, model name and version, response, per-citation verification status, SHA-256 prompt and response hashes for tamper detection. Schema is versioned.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Model-agnostic adapters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Same pipeline runs against Claude, GPT-4, or local Llama. A bank with data-residency restrictions can swap in the local-Llama adapter without modifying any other part of the system.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160" w:before="240"/>
      </w:pPr>
      <w:r>
        <w:t xml:space="preserve">Status</w:t>
      </w:r>
    </w:p>
    <w:p>
      <w:pPr>
        <w:spacing w:after="120"/>
      </w:pPr>
      <w:r>
        <w:t xml:space="preserve">Current state of the codebase: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v1 — Deterministic pipeline (ingest → chunk → hybrid retrieval → LLM → verify → audit)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Shipped. 7 phases, 152 tests at v1 close.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Security guards (.env, detect-secrets, SECURITY.md)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Shipped.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v2 (Phase 8a) — Agentic pipeline (tool calling, multi-step orchestration)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Shipped. Same fail-closed verifier and audit log.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v2 (Phase 8b) — Anthropic tool-use adapter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Shipped. Lazy-loaded, requires API key on local machine.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v2 (Phase 8c) — Agentic vs deterministic eval comparison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Shipped. 182 tests total. Empirical signal: agent stub regressed on intentional-refusal case (real Claude expected to recover).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t xml:space="preserve">Public roadmap: Streamlit playground (v1.1), pgvector store adapter (v1.2), expansion to Regulation Z and BSA/AML (v2.0).</w:t>
      </w:r>
    </w:p>
    <w:p>
      <w:pPr>
        <w:pStyle w:val="Heading1"/>
        <w:spacing w:after="160" w:before="240"/>
      </w:pPr>
      <w:r>
        <w:t xml:space="preserve">Relevance to Our Work</w:t>
      </w:r>
    </w:p>
    <w:p>
      <w:pPr>
        <w:spacing w:after="120"/>
      </w:pPr>
      <w:r>
        <w:t xml:space="preserve">Three threads of relevance, in increasing order of specificity: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Patterns rather than products. Even if the bank does not adopt this codebase directly (a decision for compliance, model-risk management, and architecture review, not something I am proposing here), the patterns are directly applicable to any LLM tooling we build internally for compliance officers, dispute investigation, KYC analyst workflows, or regulatory research.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development. Building RegRAG meaningfully advanced my familiarity with applied LLM systems in a regulated context: RAG architecture, evaluation methodology, agent orchestration, prompt versioning, audit logging at the LLM layer, and PII handling. These translate directly to internal AI initiatives.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credibility in a niche the bank cares about. The project is open-source and will be discussed publicly. Engineers with both regulated-finance domain depth and applied AI engineering experience are rare in the current market; the work positions me — and by extension, the bank — credibly in the regulated-AI space.</w:t>
      </w:r>
    </w:p>
    <w:p>
      <w:pPr>
        <w:pStyle w:val="Heading1"/>
        <w:spacing w:after="160" w:before="240"/>
      </w:pPr>
      <w:r>
        <w:t xml:space="preserve">Important Disclaimers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personal project. It is not bank-sponsored, bank-funded, or bank-endorsed.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built entirely from publicly available regulation text (the eCFR XML API).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contains no bank-internal information, code, data, or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MIT-licensed and forkable by any party.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decision to evaluate the patterns internally would go through standard compliance, model-risk, and architecture review. That is not what I am proposing in this document.</w:t>
      </w:r>
    </w:p>
    <w:p>
      <w:pPr>
        <w:pStyle w:val="Heading1"/>
        <w:spacing w:after="160" w:before="240"/>
      </w:pPr>
      <w:r>
        <w:t xml:space="preserve">What I Would Like From You</w:t>
      </w:r>
    </w:p>
    <w:p>
      <w:pPr>
        <w:spacing w:after="120"/>
      </w:pPr>
      <w:r>
        <w:t xml:space="preserve">Three possible paths, depending on what is useful to you. None require a role change, time-off allocation, or specific commitment of resources.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Awareness. At minimum, I wanted you to know about the work, since it relates to areas I would like to grow in over the next year.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Introductions. If our bank's internal AI/ML platform team or innovation/research function would find a thirty-minute technical walkthrough useful, I would welcome an introduction. I am happy to share patterns and learnings, with no expectation that the codebase be adopted.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Direction. If the patterns demonstrated here are relevant to current or upcoming work on our team, I would value a conversation about how I could apply this experience internally.</w:t>
      </w:r>
    </w:p>
    <w:p>
      <w:pPr>
        <w:pStyle w:val="Heading1"/>
        <w:spacing w:after="160" w:before="240"/>
      </w:pPr>
      <w:r>
        <w:t xml:space="preserve">How to Look at It</w:t>
      </w:r>
    </w:p>
    <w:p>
      <w:pPr>
        <w:spacing w:after="120"/>
      </w:pPr>
      <w:r>
        <w:t xml:space="preserve">The repository is at: github.com/&lt;your-handle&gt;/regrag (replace with your actual link).</w:t>
      </w:r>
    </w:p>
    <w:p>
      <w:pPr>
        <w:spacing w:after="120"/>
      </w:pPr>
      <w:r>
        <w:t xml:space="preserve">Verifying the system works on a laptop is three commands:</w:t>
      </w:r>
    </w:p>
    <w:p>
      <w:pPr>
        <w:spacing w:after="40"/>
      </w:pPr>
      <w:r>
        <w:t xml:space="preserve">    make setup</w:t>
      </w:r>
    </w:p>
    <w:p>
      <w:pPr>
        <w:spacing w:after="40"/>
      </w:pPr>
      <w:r>
        <w:t xml:space="preserve">    make test</w:t>
      </w:r>
    </w:p>
    <w:p>
      <w:pPr>
        <w:spacing w:after="200"/>
      </w:pPr>
      <w:r>
        <w:t xml:space="preserve">    make demo</w:t>
      </w:r>
    </w:p>
    <w:p>
      <w:pPr>
        <w:spacing w:after="120"/>
      </w:pPr>
      <w:r>
        <w:t xml:space="preserve">The demo runs a sample compliance question through the pipeline and shows the fail-closed gate in action: when the model emits a hallucinated citation, the system catches it and refuses with a refusal_reason recorded in the audit log.</w:t>
      </w:r>
    </w:p>
    <w:p>
      <w:pPr>
        <w:spacing w:after="120"/>
      </w:pPr>
      <w:r>
        <w:t xml:space="preserve">Happy to walk through the code, the eval harness, or the audit-log schema in detail any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2026-05-08T00:49:57.756Z</dcterms:created>
  <dcterms:modified xsi:type="dcterms:W3CDTF">2026-05-08T00:49:57.756Z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