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imes New Roman" w:hAnsi="Times New Roman" w:eastAsia="方正小标宋简体"/>
          <w:b/>
          <w:color w:val="000000"/>
          <w:sz w:val="44"/>
        </w:rPr>
        <w:t>信号与系统讲义（示例）</w:t>
      </w:r>
    </w:p>
    <w:p>
      <w:pPr>
        <w:spacing w:after="160"/>
      </w:pPr>
      <w:r>
        <w:rPr>
          <w:rFonts w:ascii="Times New Roman" w:hAnsi="Times New Roman" w:eastAsia="宋体"/>
          <w:color w:val="595959"/>
          <w:sz w:val="20"/>
        </w:rPr>
        <w:t>模板：notes；作者：math-doc；日期：</w:t>
      </w:r>
    </w:p>
    <w:p>
      <w:pPr>
        <w:pStyle w:val="Heading1"/>
        <w:keepNext/>
      </w:pPr>
      <w:r>
        <w:rPr>
          <w:rFonts w:ascii="Times New Roman" w:hAnsi="Times New Roman" w:eastAsia="黑体"/>
          <w:b/>
          <w:color w:val="2E74B5"/>
          <w:sz w:val="32"/>
        </w:rPr>
        <w:t>编号规则</w:t>
      </w:r>
    </w:p>
    <w:p>
      <w:pPr>
        <w:spacing w:after="120" w:line="324" w:lineRule="auto"/>
      </w:pPr>
      <w:r>
        <w:rPr>
          <w:rFonts w:ascii="Times New Roman" w:hAnsi="Times New Roman" w:eastAsia="宋体"/>
          <w:color w:val="000000"/>
          <w:sz w:val="22"/>
        </w:rPr>
        <w:t>公式按出现顺序编号：(1)、(2)、(3)...；章节标题使用 Heading 1/2/3，中文标题为黑体，正文为宋体。</w:t>
      </w:r>
    </w:p>
    <w:p>
      <w:pPr>
        <w:pStyle w:val="Heading1"/>
        <w:keepNext/>
      </w:pPr>
      <w:r>
        <w:rPr>
          <w:rFonts w:ascii="Times New Roman" w:hAnsi="Times New Roman" w:eastAsia="黑体"/>
          <w:b/>
          <w:color w:val="2E74B5"/>
          <w:sz w:val="32"/>
        </w:rPr>
        <w:t>引用格式</w:t>
      </w:r>
    </w:p>
    <w:p>
      <w:pPr>
        <w:spacing w:after="120" w:line="324" w:lineRule="auto"/>
      </w:pPr>
      <w:r>
        <w:rPr>
          <w:rFonts w:ascii="Times New Roman" w:hAnsi="Times New Roman" w:eastAsia="宋体"/>
          <w:color w:val="000000"/>
          <w:sz w:val="22"/>
        </w:rPr>
        <w:t>来源格式：[序号]作者/机构.题名.年份.链接或页码.</w:t>
      </w:r>
    </w:p>
    <w:p>
      <w:pPr>
        <w:pStyle w:val="Heading1"/>
        <w:keepNext/>
      </w:pPr>
      <w:r>
        <w:rPr>
          <w:rFonts w:ascii="Times New Roman" w:hAnsi="Times New Roman" w:eastAsia="黑体"/>
          <w:b/>
          <w:color w:val="2E74B5"/>
          <w:sz w:val="32"/>
        </w:rPr>
        <w:t>主题</w:t>
      </w:r>
    </w:p>
    <w:p>
      <w:pPr>
        <w:spacing w:after="120" w:line="324" w:lineRule="auto"/>
      </w:pPr>
      <w:r>
        <w:rPr>
          <w:rFonts w:ascii="Times New Roman" w:hAnsi="Times New Roman" w:eastAsia="宋体"/>
          <w:color w:val="000000"/>
          <w:sz w:val="22"/>
        </w:rPr>
        <w:t>记录本节主题和复习目标。</w:t>
      </w:r>
    </w:p>
    <w:p>
      <w:pPr>
        <w:pStyle w:val="Heading1"/>
        <w:keepNext/>
      </w:pPr>
      <w:r>
        <w:rPr>
          <w:rFonts w:ascii="Times New Roman" w:hAnsi="Times New Roman" w:eastAsia="黑体"/>
          <w:b/>
          <w:color w:val="2E74B5"/>
          <w:sz w:val="32"/>
        </w:rPr>
        <w:t>要点</w:t>
      </w:r>
    </w:p>
    <w:p>
      <w:pPr>
        <w:spacing w:after="120" w:line="324" w:lineRule="auto"/>
      </w:pPr>
      <w:r>
        <w:rPr>
          <w:rFonts w:ascii="Times New Roman" w:hAnsi="Times New Roman" w:eastAsia="宋体"/>
          <w:color w:val="000000"/>
          <w:sz w:val="22"/>
        </w:rPr>
        <w:t>用短句列出核心概念、易错点和判断规则。</w:t>
      </w:r>
    </w:p>
    <w:p>
      <w:pPr>
        <w:pStyle w:val="Heading1"/>
        <w:keepNext/>
      </w:pPr>
      <w:r>
        <w:rPr>
          <w:rFonts w:ascii="Times New Roman" w:hAnsi="Times New Roman" w:eastAsia="黑体"/>
          <w:b/>
          <w:color w:val="2E74B5"/>
          <w:sz w:val="32"/>
        </w:rPr>
        <w:t>公式</w:t>
      </w:r>
    </w:p>
    <w:p>
      <w:pPr>
        <w:spacing w:after="120" w:line="324" w:lineRule="auto"/>
      </w:pPr>
      <w:r>
        <w:rPr>
          <w:rFonts w:ascii="Times New Roman" w:hAnsi="Times New Roman" w:eastAsia="宋体"/>
          <w:color w:val="000000"/>
          <w:sz w:val="22"/>
        </w:rPr>
        <w:t>集中存放本主题公式，并为公式编号。</w:t>
      </w:r>
    </w:p>
    <w:p>
      <w:pPr>
        <w:pStyle w:val="Heading1"/>
        <w:keepNext/>
      </w:pPr>
      <w:r>
        <w:rPr>
          <w:rFonts w:ascii="Times New Roman" w:hAnsi="Times New Roman" w:eastAsia="黑体"/>
          <w:b/>
          <w:color w:val="2E74B5"/>
          <w:sz w:val="32"/>
        </w:rPr>
        <w:t>待复习</w:t>
      </w:r>
    </w:p>
    <w:p>
      <w:pPr>
        <w:spacing w:after="120" w:line="324" w:lineRule="auto"/>
      </w:pPr>
      <w:r>
        <w:rPr>
          <w:rFonts w:ascii="Times New Roman" w:hAnsi="Times New Roman" w:eastAsia="宋体"/>
          <w:color w:val="000000"/>
          <w:sz w:val="22"/>
        </w:rPr>
        <w:t>列出尚未掌握的题目或知识点。</w:t>
      </w:r>
    </w:p>
    <w:p>
      <w:pPr>
        <w:pStyle w:val="Heading1"/>
        <w:keepNext/>
      </w:pPr>
      <w:r>
        <w:rPr>
          <w:rFonts w:ascii="Times New Roman" w:hAnsi="Times New Roman" w:eastAsia="黑体"/>
          <w:b/>
          <w:color w:val="2E74B5"/>
          <w:sz w:val="32"/>
        </w:rPr>
        <w:t>来源</w:t>
      </w:r>
    </w:p>
    <w:p>
      <w:pPr>
        <w:spacing w:after="120" w:line="324" w:lineRule="auto"/>
      </w:pPr>
      <w:r>
        <w:rPr>
          <w:rFonts w:ascii="Times New Roman" w:hAnsi="Times New Roman" w:eastAsia="宋体"/>
          <w:color w:val="000000"/>
          <w:sz w:val="22"/>
        </w:rPr>
        <w:t>记录教材、讲义或网页来源。</w:t>
      </w:r>
    </w:p>
    <w:p>
      <w:pPr>
        <w:pStyle w:val="Heading1"/>
        <w:keepNext/>
      </w:pPr>
      <w:r>
        <w:rPr>
          <w:rFonts w:ascii="Times New Roman" w:hAnsi="Times New Roman" w:eastAsia="黑体"/>
          <w:b/>
          <w:color w:val="2E74B5"/>
          <w:sz w:val="32"/>
        </w:rPr>
        <w:t>示例公式</w:t>
      </w:r>
    </w:p>
    <w:p>
      <w:pPr>
        <w:tabs>
          <w:tab w:pos="8640" w:val="right"/>
        </w:tabs>
        <w:spacing w:before="80" w:after="120"/>
        <w:jc w:val="center"/>
      </w:pPr>
      <m:oMath alttext="E infinity equals integral from minus infinity to plus infinity of absolute value of x of t squared dt">
        <m:nary>
          <m:naryPr>
            <m:chr m:val="∫"/>
            <m:limLoc m:val="subSup"/>
            <m:grow m:val="1"/>
            <m:subHide m:val="off"/>
            <m:supHide m:val="off"/>
          </m:naryPr>
          <m:sub>
            <m:r>
              <m:t>−∞</m:t>
            </m:r>
          </m:sub>
          <m:sup>
            <m:r>
              <m:t>+∞</m:t>
            </m:r>
          </m:sup>
          <m:e>
            <m:sSup>
              <m:e>
                <m:d>
                  <m:dPr>
                    <m:begChr m:val="|"/>
                    <m:sepChr m:val=""/>
                    <m:endChr m:val="|"/>
                  </m:dPr>
                  <m:e>
                    <m:r>
                      <m:t>x</m:t>
                    </m:r>
                    <m:r>
                      <m:t>(</m:t>
                    </m:r>
                    <m:r>
                      <m:t>t</m:t>
                    </m:r>
                    <m: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  <m:r>
          <m:t>dt</m:t>
        </m:r>
      </m:oMath>
      <w:r>
        <w:rPr>
          <w:rFonts w:ascii="Times New Roman" w:hAnsi="Times New Roman" w:eastAsia="宋体"/>
          <w:color w:val="000000"/>
          <w:sz w:val="22"/>
        </w:rPr>
        <w:tab/>
        <w:t>(1)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4" w:lineRule="auto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76" w:lineRule="auto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76" w:lineRule="auto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76" w:lineRule="auto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