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Times New Roman" w:hAnsi="Times New Roman" w:eastAsia="方正小标宋简体"/>
          <w:b/>
          <w:sz w:val="44"/>
        </w:rPr>
        <w:t>关于序列变换性质的示例论文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摘要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本文以示例方式展示含编号公式的论文结构：介绍序列的变换表示，导出闭合形式并讨论其性质。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1 引言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对离散时间序列，变换是分析系统行为的核心工具。本文给出两个基本结果。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2 公式与结果</w:t>
      </w:r>
    </w:p>
    <w:p>
      <w:pPr>
        <w:pStyle w:val="Heading2"/>
        <w:keepNext/>
      </w:pPr>
      <w:r>
        <w:rPr>
          <w:rFonts w:ascii="Times New Roman" w:hAnsi="Times New Roman" w:eastAsia="黑体"/>
          <w:b/>
          <w:color w:val="2E74B5"/>
          <w:sz w:val="26"/>
        </w:rPr>
        <w:t>2.1 变换的定义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序列 x[n] 的变换定义为：</w:t>
      </w:r>
    </w:p>
    <w:p>
      <w:pPr>
        <w:tabs>
          <w:tab w:pos="8640" w:val="right"/>
        </w:tabs>
        <w:spacing w:before="80" w:after="120"/>
        <w:jc w:val="center"/>
      </w:pPr>
      <m:oMath>
        <m:r>
          <m:t>X(z)=</m:t>
        </m:r>
        <m:nary>
          <m:naryPr>
            <m:chr m:val="∑"/>
            <m:limLoc m:val="undOvr"/>
            <m:grow m:val="1"/>
            <m:ctrlPr>
              <w:rPr>
                <w:rFonts w:ascii="Cambria Math" w:hAnsi="Cambria Math"/>
              </w:rPr>
            </m:ctrlPr>
          </m:naryPr>
          <m:sub>
            <m:r>
              <m:t>n=−∞</m:t>
            </m:r>
          </m:sub>
          <m:sup>
            <m:r>
              <m:t>+∞</m:t>
            </m:r>
          </m:sup>
          <m:e>
            <m:r>
              <m:t>x[n]</m:t>
            </m:r>
          </m:e>
        </m:nary>
        <m:sSup>
          <m:e>
            <m:r>
              <m:t>z</m:t>
            </m:r>
          </m:e>
          <m:sup>
            <m:r>
              <m:t>−n</m:t>
            </m:r>
          </m:sup>
        </m:sSup>
      </m:oMath>
      <w:r>
        <w:rPr>
          <w:rFonts w:ascii="Times New Roman" w:hAnsi="Times New Roman" w:eastAsia="宋体"/>
          <w:color w:val="000000"/>
          <w:sz w:val="22"/>
        </w:rPr>
        <w:tab/>
        <w:t>(1)</w:t>
      </w:r>
    </w:p>
    <w:p>
      <w:pPr>
        <w:pStyle w:val="Heading2"/>
        <w:keepNext/>
      </w:pPr>
      <w:r>
        <w:rPr>
          <w:rFonts w:ascii="Times New Roman" w:hAnsi="Times New Roman" w:eastAsia="黑体"/>
          <w:b/>
          <w:color w:val="2E74B5"/>
          <w:sz w:val="26"/>
        </w:rPr>
        <w:t>2.2 几何级数求和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当收敛域包含单位圆时，几何级数可化为闭合形式：</w:t>
      </w:r>
    </w:p>
    <w:p>
      <w:pPr>
        <w:tabs>
          <w:tab w:pos="8640" w:val="right"/>
        </w:tabs>
        <w:spacing w:before="80" w:after="120"/>
        <w:jc w:val="center"/>
      </w:pPr>
      <m:oMath>
        <m:nary>
          <m:naryPr>
            <m:chr m:val="∑"/>
            <m:limLoc m:val="undOvr"/>
            <m:grow m:val="1"/>
            <m:ctrlPr>
              <w:rPr>
                <w:rFonts w:ascii="Cambria Math" w:hAnsi="Cambria Math"/>
              </w:rPr>
            </m:ctrlPr>
          </m:naryPr>
          <m:sub>
            <m:r>
              <m:t>n=0</m:t>
            </m:r>
          </m:sub>
          <m:sup>
            <m:r>
              <m:t>+∞</m:t>
            </m:r>
          </m:sup>
          <m:e>
            <m:sSup>
              <m:e>
                <m:r>
                  <m:t>α</m:t>
                </m:r>
              </m:e>
              <m:sup>
                <m:r>
                  <m:t>n</m:t>
                </m:r>
              </m:sup>
            </m:sSup>
          </m:e>
        </m:nary>
        <m: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1−α</m:t>
            </m:r>
          </m:den>
        </m:f>
        <m:r>
          <m:t>,</m:t>
        </m:r>
        <m:d>
          <m:dPr>
            <m:begChr m:val="|"/>
            <m:sepChr m:val=""/>
            <m:endChr m:val="|"/>
          </m:dPr>
          <m:e>
            <m:r>
              <m:t>α</m:t>
            </m:r>
          </m:e>
        </m:d>
        <m:r>
          <m:t>&lt;1</m:t>
        </m:r>
      </m:oMath>
      <w:r>
        <w:rPr>
          <w:rFonts w:ascii="Times New Roman" w:hAnsi="Times New Roman" w:eastAsia="宋体"/>
          <w:color w:val="000000"/>
          <w:sz w:val="22"/>
        </w:rPr>
        <w:tab/>
        <w:t>(1)</w:t>
      </w:r>
    </w:p>
    <w:p>
      <w:pPr>
        <w:pStyle w:val="Heading2"/>
        <w:keepNext/>
      </w:pPr>
      <w:r>
        <w:rPr>
          <w:rFonts w:ascii="Times New Roman" w:hAnsi="Times New Roman" w:eastAsia="黑体"/>
          <w:b/>
          <w:color w:val="2E74B5"/>
          <w:sz w:val="26"/>
        </w:rPr>
        <w:t>2.3 逆变换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逆变换由围线积分给出：</w:t>
      </w:r>
    </w:p>
    <w:p>
      <w:pPr>
        <w:tabs>
          <w:tab w:pos="8640" w:val="right"/>
        </w:tabs>
        <w:spacing w:before="80" w:after="120"/>
        <w:jc w:val="center"/>
      </w:pPr>
      <m:oMath>
        <m:r>
          <m:t>x[n]=</m:t>
        </m:r>
        <m:f>
          <m:fPr>
            <m:type m:val="bar"/>
          </m:fPr>
          <m:num>
            <m:r>
              <m:t>1</m:t>
            </m:r>
          </m:num>
          <m:den>
            <m:r>
              <m:t>2πj</m:t>
            </m:r>
          </m:den>
        </m:f>
        <m:r>
          <m:t>∮X(z)</m:t>
        </m:r>
        <m:sSup>
          <m:e>
            <m:r>
              <m:t>z</m:t>
            </m:r>
          </m:e>
          <m:sup>
            <m:r>
              <m:t>n−1</m:t>
            </m:r>
          </m:sup>
        </m:sSup>
        <m:r>
          <m:t>dz</m:t>
        </m:r>
      </m:oMath>
      <w:r>
        <w:rPr>
          <w:rFonts w:ascii="Times New Roman" w:hAnsi="Times New Roman" w:eastAsia="宋体"/>
          <w:color w:val="000000"/>
          <w:sz w:val="22"/>
        </w:rPr>
        <w:tab/>
        <w:t>(1)</w:t>
      </w:r>
    </w:p>
    <w:p>
      <w:pPr>
        <w:pStyle w:val="Heading1"/>
        <w:keepNext/>
      </w:pPr>
      <w:r>
        <w:rPr>
          <w:rFonts w:ascii="Times New Roman" w:hAnsi="Times New Roman" w:eastAsia="黑体"/>
          <w:b/>
          <w:color w:val="2E74B5"/>
          <w:sz w:val="32"/>
        </w:rPr>
        <w:t>3 结论</w:t>
      </w:r>
    </w:p>
    <w:p>
      <w:pPr>
        <w:spacing w:after="120" w:line="324" w:lineRule="auto"/>
      </w:pPr>
      <w:r>
        <w:rPr>
          <w:rFonts w:ascii="Times New Roman" w:hAnsi="Times New Roman" w:eastAsia="宋体"/>
          <w:color w:val="000000"/>
          <w:sz w:val="22"/>
        </w:rPr>
        <w:t>变换与逆变换互为反演，公式 (1)-(3) 提供完整的计算路径。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76" w:lineRule="auto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76" w:lineRule="auto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76" w:lineRule="auto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