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Calibri" w:hAnsi="Calibri"/>
          <w:b/>
          <w:i w:val="0"/>
          <w:color w:val="00407A"/>
          <w:sz w:val="44"/>
        </w:rPr>
        <w:t>Customer Complaint Resolution Network</w:t>
        <w:br/>
      </w:r>
      <w:r>
        <w:rPr>
          <w:rFonts w:ascii="Calibri" w:hAnsi="Calibri"/>
          <w:b/>
          <w:i w:val="0"/>
          <w:color w:val="006AD0"/>
          <w:sz w:val="32"/>
        </w:rPr>
        <w:t>MCP + A2A with MuleSoft Agent Fabric</w:t>
      </w:r>
    </w:p>
    <w:p/>
    <w:p>
      <w:pPr>
        <w:jc w:val="center"/>
      </w:pPr>
      <w:r>
        <w:rPr>
          <w:rFonts w:ascii="Calibri" w:hAnsi="Calibri"/>
          <w:b/>
          <w:i w:val="0"/>
          <w:color w:val="1A1A1A"/>
          <w:sz w:val="26"/>
        </w:rPr>
        <w:t>Implementation Evidence &amp; Technical Documentation</w:t>
        <w:br/>
      </w:r>
      <w:r>
        <w:rPr>
          <w:rFonts w:ascii="Calibri" w:hAnsi="Calibri"/>
          <w:b w:val="0"/>
          <w:i w:val="0"/>
          <w:color w:val="444444"/>
          <w:sz w:val="22"/>
        </w:rPr>
        <w:t>Salesforce TDX 2026 — Session 1557</w:t>
        <w:br/>
        <w:t>San Francisco, CA  |  April 16, 2026</w:t>
      </w:r>
    </w:p>
    <w:p/>
    <w:p>
      <w:pPr>
        <w:jc w:val="center"/>
      </w:pPr>
      <w:r>
        <w:rPr>
          <w:rFonts w:ascii="Calibri" w:hAnsi="Calibri"/>
          <w:b w:val="0"/>
          <w:i/>
          <w:color w:val="333333"/>
          <w:sz w:val="22"/>
        </w:rPr>
        <w:t>Author: Md Helal</w:t>
        <w:br/>
        <w:t>Org: Student13  |  Environment: Sandbox</w:t>
        <w:br/>
        <w:t>All 5 Exercises Completed and Verified</w:t>
      </w:r>
    </w:p>
    <w:p>
      <w:r>
        <w:br w:type="page"/>
      </w:r>
    </w:p>
    <w:p>
      <w:pPr>
        <w:pStyle w:val="Heading1"/>
        <w:jc w:val="left"/>
      </w:pPr>
      <w:r>
        <w:rPr>
          <w:rFonts w:ascii="Calibri" w:hAnsi="Calibri"/>
          <w:color w:val="00407A"/>
        </w:rPr>
        <w:t>1. Overview</w:t>
      </w:r>
    </w:p>
    <w:p>
      <w:pPr>
        <w:spacing w:before="0" w:after="120"/>
      </w:pPr>
      <w:r>
        <w:rPr>
          <w:rFonts w:ascii="Calibri" w:hAnsi="Calibri"/>
          <w:sz w:val="22"/>
        </w:rPr>
        <w:t>This document provides photographic and data-driven evidence for all five hands-on exercises completed during TDX 2026 Session 1557: Connect &amp; Govern MCP and A2A with MuleSoft Agent Fabric. Each section presents the relevant screenshots, extracted metrics, and technical interpretation of what the evidence demonstrates. The document is structured to serve both as a portfolio showcase and as a reference appendix for academic publication.</w:t>
      </w:r>
    </w:p>
    <w:p>
      <w:pPr>
        <w:pStyle w:val="Heading2"/>
        <w:jc w:val="left"/>
      </w:pPr>
      <w:r>
        <w:rPr>
          <w:rFonts w:ascii="Calibri" w:hAnsi="Calibri"/>
          <w:color w:val="00407A"/>
        </w:rPr>
        <w:t>Exercise Summary</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00407A"/>
          </w:tcPr>
          <w:p>
            <w:r>
              <w:rPr>
                <w:rFonts w:ascii="Calibri" w:hAnsi="Calibri"/>
                <w:b/>
                <w:color w:val="FFFFFF"/>
                <w:sz w:val="20"/>
              </w:rPr>
              <w:t>Exercise</w:t>
            </w:r>
          </w:p>
        </w:tc>
        <w:tc>
          <w:tcPr>
            <w:tcW w:type="dxa" w:w="2351"/>
            <w:shd w:val="clear" w:color="auto" w:fill="00407A"/>
          </w:tcPr>
          <w:p>
            <w:r>
              <w:rPr>
                <w:rFonts w:ascii="Calibri" w:hAnsi="Calibri"/>
                <w:b/>
                <w:color w:val="FFFFFF"/>
                <w:sz w:val="20"/>
              </w:rPr>
              <w:t>Objective</w:t>
            </w:r>
          </w:p>
        </w:tc>
        <w:tc>
          <w:tcPr>
            <w:tcW w:type="dxa" w:w="2351"/>
            <w:shd w:val="clear" w:color="auto" w:fill="00407A"/>
          </w:tcPr>
          <w:p>
            <w:r>
              <w:rPr>
                <w:rFonts w:ascii="Calibri" w:hAnsi="Calibri"/>
                <w:b/>
                <w:color w:val="FFFFFF"/>
                <w:sz w:val="20"/>
              </w:rPr>
              <w:t>Key Result</w:t>
            </w:r>
          </w:p>
        </w:tc>
        <w:tc>
          <w:tcPr>
            <w:tcW w:type="dxa" w:w="2351"/>
            <w:shd w:val="clear" w:color="auto" w:fill="00407A"/>
          </w:tcPr>
          <w:p>
            <w:r>
              <w:rPr>
                <w:rFonts w:ascii="Calibri" w:hAnsi="Calibri"/>
                <w:b/>
                <w:color w:val="FFFFFF"/>
                <w:sz w:val="20"/>
              </w:rPr>
              <w:t>Status</w:t>
            </w:r>
          </w:p>
        </w:tc>
      </w:tr>
      <w:tr>
        <w:tc>
          <w:tcPr>
            <w:tcW w:type="dxa" w:w="2351"/>
            <w:shd w:val="clear" w:color="auto" w:fill="F2F4F7"/>
          </w:tcPr>
          <w:p>
            <w:r>
              <w:rPr>
                <w:rFonts w:ascii="Calibri" w:hAnsi="Calibri"/>
                <w:sz w:val="20"/>
              </w:rPr>
              <w:t>1</w:t>
            </w:r>
          </w:p>
        </w:tc>
        <w:tc>
          <w:tcPr>
            <w:tcW w:type="dxa" w:w="2351"/>
            <w:shd w:val="clear" w:color="auto" w:fill="F2F4F7"/>
          </w:tcPr>
          <w:p>
            <w:r>
              <w:rPr>
                <w:rFonts w:ascii="Calibri" w:hAnsi="Calibri"/>
                <w:sz w:val="20"/>
              </w:rPr>
              <w:t>Add A2A PII Detector policy asset to project</w:t>
            </w:r>
          </w:p>
        </w:tc>
        <w:tc>
          <w:tcPr>
            <w:tcW w:type="dxa" w:w="2351"/>
            <w:shd w:val="clear" w:color="auto" w:fill="F2F4F7"/>
          </w:tcPr>
          <w:p>
            <w:r>
              <w:rPr>
                <w:rFonts w:ascii="Calibri" w:hAnsi="Calibri"/>
                <w:sz w:val="20"/>
              </w:rPr>
              <w:t>Policy asset selected from Exchange</w:t>
            </w:r>
          </w:p>
        </w:tc>
        <w:tc>
          <w:tcPr>
            <w:tcW w:type="dxa" w:w="2351"/>
            <w:shd w:val="clear" w:color="auto" w:fill="F2F4F7"/>
          </w:tcPr>
          <w:p>
            <w:r>
              <w:rPr>
                <w:rFonts w:ascii="Calibri" w:hAnsi="Calibri"/>
                <w:sz w:val="20"/>
              </w:rPr>
              <w:t>✅ Complete</w:t>
            </w:r>
          </w:p>
        </w:tc>
      </w:tr>
      <w:tr>
        <w:tc>
          <w:tcPr>
            <w:tcW w:type="dxa" w:w="2351"/>
          </w:tcPr>
          <w:p>
            <w:r>
              <w:rPr>
                <w:rFonts w:ascii="Calibri" w:hAnsi="Calibri"/>
                <w:sz w:val="20"/>
              </w:rPr>
              <w:t>2</w:t>
            </w:r>
          </w:p>
        </w:tc>
        <w:tc>
          <w:tcPr>
            <w:tcW w:type="dxa" w:w="2351"/>
          </w:tcPr>
          <w:p>
            <w:r>
              <w:rPr>
                <w:rFonts w:ascii="Calibri" w:hAnsi="Calibri"/>
                <w:sz w:val="20"/>
              </w:rPr>
              <w:t>Publish agent network to Anypoint Exchange</w:t>
            </w:r>
          </w:p>
        </w:tc>
        <w:tc>
          <w:tcPr>
            <w:tcW w:type="dxa" w:w="2351"/>
          </w:tcPr>
          <w:p>
            <w:r>
              <w:rPr>
                <w:rFonts w:ascii="Calibri" w:hAnsi="Calibri"/>
                <w:sz w:val="20"/>
              </w:rPr>
              <w:t>36 assets published via Anypoint CLI</w:t>
            </w:r>
          </w:p>
        </w:tc>
        <w:tc>
          <w:tcPr>
            <w:tcW w:type="dxa" w:w="2351"/>
          </w:tcPr>
          <w:p>
            <w:r>
              <w:rPr>
                <w:rFonts w:ascii="Calibri" w:hAnsi="Calibri"/>
                <w:sz w:val="20"/>
              </w:rPr>
              <w:t>✅ Complete</w:t>
            </w:r>
          </w:p>
        </w:tc>
      </w:tr>
      <w:tr>
        <w:tc>
          <w:tcPr>
            <w:tcW w:type="dxa" w:w="2351"/>
            <w:shd w:val="clear" w:color="auto" w:fill="F2F4F7"/>
          </w:tcPr>
          <w:p>
            <w:r>
              <w:rPr>
                <w:rFonts w:ascii="Calibri" w:hAnsi="Calibri"/>
                <w:sz w:val="20"/>
              </w:rPr>
              <w:t>3</w:t>
            </w:r>
          </w:p>
        </w:tc>
        <w:tc>
          <w:tcPr>
            <w:tcW w:type="dxa" w:w="2351"/>
            <w:shd w:val="clear" w:color="auto" w:fill="F2F4F7"/>
          </w:tcPr>
          <w:p>
            <w:r>
              <w:rPr>
                <w:rFonts w:ascii="Calibri" w:hAnsi="Calibri"/>
                <w:sz w:val="20"/>
              </w:rPr>
              <w:t>End-to-end refund test via Slack</w:t>
            </w:r>
          </w:p>
        </w:tc>
        <w:tc>
          <w:tcPr>
            <w:tcW w:type="dxa" w:w="2351"/>
            <w:shd w:val="clear" w:color="auto" w:fill="F2F4F7"/>
          </w:tcPr>
          <w:p>
            <w:r>
              <w:rPr>
                <w:rFonts w:ascii="Calibri" w:hAnsi="Calibri"/>
                <w:sz w:val="20"/>
              </w:rPr>
              <w:t>200 OK · REF000002 · Expedited refund</w:t>
            </w:r>
          </w:p>
        </w:tc>
        <w:tc>
          <w:tcPr>
            <w:tcW w:type="dxa" w:w="2351"/>
            <w:shd w:val="clear" w:color="auto" w:fill="F2F4F7"/>
          </w:tcPr>
          <w:p>
            <w:r>
              <w:rPr>
                <w:rFonts w:ascii="Calibri" w:hAnsi="Calibri"/>
                <w:sz w:val="20"/>
              </w:rPr>
              <w:t>✅ Complete</w:t>
            </w:r>
          </w:p>
        </w:tc>
      </w:tr>
      <w:tr>
        <w:tc>
          <w:tcPr>
            <w:tcW w:type="dxa" w:w="2351"/>
          </w:tcPr>
          <w:p>
            <w:r>
              <w:rPr>
                <w:rFonts w:ascii="Calibri" w:hAnsi="Calibri"/>
                <w:sz w:val="20"/>
              </w:rPr>
              <w:t>4</w:t>
            </w:r>
          </w:p>
        </w:tc>
        <w:tc>
          <w:tcPr>
            <w:tcW w:type="dxa" w:w="2351"/>
          </w:tcPr>
          <w:p>
            <w:r>
              <w:rPr>
                <w:rFonts w:ascii="Calibri" w:hAnsi="Calibri"/>
                <w:sz w:val="20"/>
              </w:rPr>
              <w:t>Apply &amp; verify A2A PII Detector policy</w:t>
            </w:r>
          </w:p>
        </w:tc>
        <w:tc>
          <w:tcPr>
            <w:tcW w:type="dxa" w:w="2351"/>
          </w:tcPr>
          <w:p>
            <w:r>
              <w:rPr>
                <w:rFonts w:ascii="Calibri" w:hAnsi="Calibri"/>
                <w:sz w:val="20"/>
              </w:rPr>
              <w:t>401 Unauthorized on SSN input</w:t>
            </w:r>
          </w:p>
        </w:tc>
        <w:tc>
          <w:tcPr>
            <w:tcW w:type="dxa" w:w="2351"/>
          </w:tcPr>
          <w:p>
            <w:r>
              <w:rPr>
                <w:rFonts w:ascii="Calibri" w:hAnsi="Calibri"/>
                <w:sz w:val="20"/>
              </w:rPr>
              <w:t>✅ Complete</w:t>
            </w:r>
          </w:p>
        </w:tc>
      </w:tr>
      <w:tr>
        <w:tc>
          <w:tcPr>
            <w:tcW w:type="dxa" w:w="2351"/>
            <w:shd w:val="clear" w:color="auto" w:fill="F2F4F7"/>
          </w:tcPr>
          <w:p>
            <w:r>
              <w:rPr>
                <w:rFonts w:ascii="Calibri" w:hAnsi="Calibri"/>
                <w:sz w:val="20"/>
              </w:rPr>
              <w:t>5a</w:t>
            </w:r>
          </w:p>
        </w:tc>
        <w:tc>
          <w:tcPr>
            <w:tcW w:type="dxa" w:w="2351"/>
            <w:shd w:val="clear" w:color="auto" w:fill="F2F4F7"/>
          </w:tcPr>
          <w:p>
            <w:r>
              <w:rPr>
                <w:rFonts w:ascii="Calibri" w:hAnsi="Calibri"/>
                <w:sz w:val="20"/>
              </w:rPr>
              <w:t>Agent Visualizer — live topology</w:t>
            </w:r>
          </w:p>
        </w:tc>
        <w:tc>
          <w:tcPr>
            <w:tcW w:type="dxa" w:w="2351"/>
            <w:shd w:val="clear" w:color="auto" w:fill="F2F4F7"/>
          </w:tcPr>
          <w:p>
            <w:r>
              <w:rPr>
                <w:rFonts w:ascii="Calibri" w:hAnsi="Calibri"/>
                <w:sz w:val="20"/>
              </w:rPr>
              <w:t>All 4 nodes visible · Active status · Flex Gateway</w:t>
            </w:r>
          </w:p>
        </w:tc>
        <w:tc>
          <w:tcPr>
            <w:tcW w:type="dxa" w:w="2351"/>
            <w:shd w:val="clear" w:color="auto" w:fill="F2F4F7"/>
          </w:tcPr>
          <w:p>
            <w:r>
              <w:rPr>
                <w:rFonts w:ascii="Calibri" w:hAnsi="Calibri"/>
                <w:sz w:val="20"/>
              </w:rPr>
              <w:t>✅ Complete</w:t>
            </w:r>
          </w:p>
        </w:tc>
      </w:tr>
      <w:tr>
        <w:tc>
          <w:tcPr>
            <w:tcW w:type="dxa" w:w="2351"/>
          </w:tcPr>
          <w:p>
            <w:r>
              <w:rPr>
                <w:rFonts w:ascii="Calibri" w:hAnsi="Calibri"/>
                <w:sz w:val="20"/>
              </w:rPr>
              <w:t>5b</w:t>
            </w:r>
          </w:p>
        </w:tc>
        <w:tc>
          <w:tcPr>
            <w:tcW w:type="dxa" w:w="2351"/>
          </w:tcPr>
          <w:p>
            <w:r>
              <w:rPr>
                <w:rFonts w:ascii="Calibri" w:hAnsi="Calibri"/>
                <w:sz w:val="20"/>
              </w:rPr>
              <w:t>Distributed trace — success path</w:t>
            </w:r>
          </w:p>
        </w:tc>
        <w:tc>
          <w:tcPr>
            <w:tcW w:type="dxa" w:w="2351"/>
          </w:tcPr>
          <w:p>
            <w:r>
              <w:rPr>
                <w:rFonts w:ascii="Calibri" w:hAnsi="Calibri"/>
                <w:sz w:val="20"/>
              </w:rPr>
              <w:t>200 OK · 19 spans · 20.81s total</w:t>
            </w:r>
          </w:p>
        </w:tc>
        <w:tc>
          <w:tcPr>
            <w:tcW w:type="dxa" w:w="2351"/>
          </w:tcPr>
          <w:p>
            <w:r>
              <w:rPr>
                <w:rFonts w:ascii="Calibri" w:hAnsi="Calibri"/>
                <w:sz w:val="20"/>
              </w:rPr>
              <w:t>✅ Complete</w:t>
            </w:r>
          </w:p>
        </w:tc>
      </w:tr>
      <w:tr>
        <w:tc>
          <w:tcPr>
            <w:tcW w:type="dxa" w:w="2351"/>
            <w:shd w:val="clear" w:color="auto" w:fill="F2F4F7"/>
          </w:tcPr>
          <w:p>
            <w:r>
              <w:rPr>
                <w:rFonts w:ascii="Calibri" w:hAnsi="Calibri"/>
                <w:sz w:val="20"/>
              </w:rPr>
              <w:t>5c</w:t>
            </w:r>
          </w:p>
        </w:tc>
        <w:tc>
          <w:tcPr>
            <w:tcW w:type="dxa" w:w="2351"/>
            <w:shd w:val="clear" w:color="auto" w:fill="F2F4F7"/>
          </w:tcPr>
          <w:p>
            <w:r>
              <w:rPr>
                <w:rFonts w:ascii="Calibri" w:hAnsi="Calibri"/>
                <w:sz w:val="20"/>
              </w:rPr>
              <w:t>Distributed trace — PII rejection</w:t>
            </w:r>
          </w:p>
        </w:tc>
        <w:tc>
          <w:tcPr>
            <w:tcW w:type="dxa" w:w="2351"/>
            <w:shd w:val="clear" w:color="auto" w:fill="F2F4F7"/>
          </w:tcPr>
          <w:p>
            <w:r>
              <w:rPr>
                <w:rFonts w:ascii="Calibri" w:hAnsi="Calibri"/>
                <w:sz w:val="20"/>
              </w:rPr>
              <w:t>401 · 1 span · 1.01s · No LLM call</w:t>
            </w:r>
          </w:p>
        </w:tc>
        <w:tc>
          <w:tcPr>
            <w:tcW w:type="dxa" w:w="2351"/>
            <w:shd w:val="clear" w:color="auto" w:fill="F2F4F7"/>
          </w:tcPr>
          <w:p>
            <w:r>
              <w:rPr>
                <w:rFonts w:ascii="Calibri" w:hAnsi="Calibri"/>
                <w:sz w:val="20"/>
              </w:rPr>
              <w:t>✅ Complete</w:t>
            </w:r>
          </w:p>
        </w:tc>
      </w:tr>
      <w:tr>
        <w:tc>
          <w:tcPr>
            <w:tcW w:type="dxa" w:w="2351"/>
          </w:tcPr>
          <w:p>
            <w:r>
              <w:rPr>
                <w:rFonts w:ascii="Calibri" w:hAnsi="Calibri"/>
                <w:sz w:val="20"/>
              </w:rPr>
              <w:t>5d</w:t>
            </w:r>
          </w:p>
        </w:tc>
        <w:tc>
          <w:tcPr>
            <w:tcW w:type="dxa" w:w="2351"/>
          </w:tcPr>
          <w:p>
            <w:r>
              <w:rPr>
                <w:rFonts w:ascii="Calibri" w:hAnsi="Calibri"/>
                <w:sz w:val="20"/>
              </w:rPr>
              <w:t>Log search from trace</w:t>
            </w:r>
          </w:p>
        </w:tc>
        <w:tc>
          <w:tcPr>
            <w:tcW w:type="dxa" w:w="2351"/>
          </w:tcPr>
          <w:p>
            <w:r>
              <w:rPr>
                <w:rFonts w:ascii="Calibri" w:hAnsi="Calibri"/>
                <w:sz w:val="20"/>
              </w:rPr>
              <w:t>102 log hits · Structured JSON logs</w:t>
            </w:r>
          </w:p>
        </w:tc>
        <w:tc>
          <w:tcPr>
            <w:tcW w:type="dxa" w:w="2351"/>
          </w:tcPr>
          <w:p>
            <w:r>
              <w:rPr>
                <w:rFonts w:ascii="Calibri" w:hAnsi="Calibri"/>
                <w:sz w:val="20"/>
              </w:rPr>
              <w:t>✅ Complete</w:t>
            </w:r>
          </w:p>
        </w:tc>
      </w:tr>
    </w:tbl>
    <w:p/>
    <w:p>
      <w:pPr>
        <w:pStyle w:val="Heading2"/>
        <w:jc w:val="left"/>
      </w:pPr>
      <w:r>
        <w:rPr>
          <w:rFonts w:ascii="Calibri" w:hAnsi="Calibri"/>
          <w:color w:val="00407A"/>
        </w:rPr>
        <w:t>Architecture Summary</w:t>
      </w:r>
    </w:p>
    <w:p>
      <w:pPr>
        <w:spacing w:before="0" w:after="120"/>
      </w:pPr>
      <w:r>
        <w:rPr>
          <w:rFonts w:ascii="Calibri" w:hAnsi="Calibri"/>
          <w:sz w:val="22"/>
        </w:rPr>
        <w:t>The deployed network consists of one Broker (LLM orchestrator), one A2A sub-agent, and two MCP servers, all routed through Flex Gateway on CloudHub 2.0:</w:t>
      </w:r>
    </w:p>
    <w:p>
      <w:pPr>
        <w:spacing w:before="80" w:after="80"/>
        <w:ind w:left="567"/>
        <w:shd w:val="clear" w:color="auto" w:fill="F2F4F7"/>
      </w:pPr>
      <w:r>
        <w:rPr>
          <w:rFonts w:ascii="Courier New" w:hAnsi="Courier New"/>
          <w:color w:val="2B2B2B"/>
          <w:sz w:val="18"/>
        </w:rPr>
        <w:t>Client (Slack / direct A2A POST)</w:t>
        <w:br/>
        <w:t xml:space="preserve">   │  JSON-RPC 2.0  ·  method: message/send</w:t>
        <w:br/>
        <w:t xml:space="preserve">   ▼</w:t>
        <w:br/>
        <w:t>Flex Gateway  —  A2A PII Detector v1.0.1  (US SSN → 401)</w:t>
        <w:br/>
        <w:t xml:space="preserve">   │</w:t>
        <w:br/>
        <w:t xml:space="preserve">   ▼</w:t>
        <w:br/>
        <w:t>complaint-resolution-broker  (Google Gemini 2.5 Flash Lite)</w:t>
        <w:br/>
        <w:t xml:space="preserve">   ├── A2A ──► Customer Verification Agent  (Node.js · Heroku /a2a/)</w:t>
        <w:br/>
        <w:t xml:space="preserve">   ├── MCP ──► Inventory MCP Server         (streamableHttp · Heroku /inventory)</w:t>
        <w:br/>
        <w:t xml:space="preserve">   │              create_return_request  ·  generate_return_label  ·  check_inventory_status</w:t>
        <w:br/>
        <w:t xml:space="preserve">   └── MCP ──► Finance MCP Server           (streamableHttp · Heroku /finance)</w:t>
        <w:br/>
        <w:t xml:space="preserve">                  process_refund  ·  create_ledger_entry</w:t>
      </w:r>
    </w:p>
    <w:p>
      <w:r>
        <w:br w:type="page"/>
      </w:r>
    </w:p>
    <w:p>
      <w:pPr>
        <w:pStyle w:val="Heading1"/>
        <w:jc w:val="left"/>
      </w:pPr>
      <w:r>
        <w:rPr>
          <w:rFonts w:ascii="Calibri" w:hAnsi="Calibri"/>
          <w:color w:val="00407A"/>
        </w:rPr>
        <w:t>2. Exercise 1 — Add A2A PII Detector Policy Asset</w:t>
      </w:r>
    </w:p>
    <w:p>
      <w:pPr>
        <w:spacing w:before="0" w:after="120"/>
      </w:pPr>
      <w:r>
        <w:rPr>
          <w:rFonts w:ascii="Calibri" w:hAnsi="Calibri"/>
          <w:sz w:val="22"/>
        </w:rPr>
        <w:t>The first step was to add the A2A PII Detector policy as a dependency in the agent network project. This is done inside Anypoint Code Builder by searching Anypoint Exchange and selecting the policy asset, which appends a dependency entry to exchange.json and makes the policy available for reference in agent-network.yaml.</w:t>
      </w:r>
    </w:p>
    <w:p>
      <w:pPr>
        <w:jc w:val="center"/>
      </w:pPr>
      <w:r>
        <w:drawing>
          <wp:inline xmlns:a="http://schemas.openxmlformats.org/drawingml/2006/main" xmlns:pic="http://schemas.openxmlformats.org/drawingml/2006/picture">
            <wp:extent cx="4754880" cy="3533804"/>
            <wp:docPr id="1" name="Picture 1"/>
            <wp:cNvGraphicFramePr>
              <a:graphicFrameLocks noChangeAspect="1"/>
            </wp:cNvGraphicFramePr>
            <a:graphic>
              <a:graphicData uri="http://schemas.openxmlformats.org/drawingml/2006/picture">
                <pic:pic>
                  <pic:nvPicPr>
                    <pic:cNvPr id="0" name="Exercise 4 – Task 2-1.jpg"/>
                    <pic:cNvPicPr/>
                  </pic:nvPicPr>
                  <pic:blipFill>
                    <a:blip r:embed="rId9"/>
                    <a:stretch>
                      <a:fillRect/>
                    </a:stretch>
                  </pic:blipFill>
                  <pic:spPr>
                    <a:xfrm>
                      <a:off x="0" y="0"/>
                      <a:ext cx="4754880" cy="3533804"/>
                    </a:xfrm>
                    <a:prstGeom prst="rect"/>
                  </pic:spPr>
                </pic:pic>
              </a:graphicData>
            </a:graphic>
          </wp:inline>
        </w:drawing>
      </w:r>
    </w:p>
    <w:p>
      <w:pPr>
        <w:spacing w:after="200"/>
        <w:jc w:val="center"/>
      </w:pPr>
      <w:r>
        <w:rPr>
          <w:rFonts w:ascii="Calibri" w:hAnsi="Calibri"/>
          <w:i/>
          <w:color w:val="555555"/>
          <w:sz w:val="18"/>
        </w:rPr>
        <w:t>Figure 1 — Anypoint Code Builder: 'Add Exchange Assets' dialog. A2A PII Detector v1.0.1 (MuleSoft Organization) selected.</w:t>
      </w:r>
    </w:p>
    <w:p>
      <w:pPr>
        <w:pStyle w:val="Heading2"/>
        <w:jc w:val="left"/>
      </w:pPr>
      <w:r>
        <w:rPr>
          <w:rFonts w:ascii="Calibri" w:hAnsi="Calibri"/>
          <w:color w:val="00407A"/>
        </w:rPr>
        <w:t>Evidence Details</w:t>
      </w:r>
    </w:p>
    <w:p>
      <w:pPr>
        <w:spacing w:before="0" w:after="120"/>
      </w:pPr>
      <w:r>
        <w:rPr>
          <w:rFonts w:ascii="Calibri" w:hAnsi="Calibri"/>
          <w:sz w:val="22"/>
        </w:rPr>
        <w:t>The screenshot confirms:</w:t>
      </w:r>
    </w:p>
    <w:p>
      <w:pPr>
        <w:pStyle w:val="ListBullet"/>
      </w:pPr>
      <w:r>
        <w:rPr>
          <w:rFonts w:ascii="Calibri" w:hAnsi="Calibri"/>
          <w:b w:val="0"/>
          <w:i w:val="0"/>
          <w:sz w:val="22"/>
        </w:rPr>
        <w:t>Three policy assets are available: A2A PII Detector, MCP PII Detector, A2A Schema Validation.</w:t>
      </w:r>
    </w:p>
    <w:p>
      <w:pPr>
        <w:pStyle w:val="ListBullet"/>
      </w:pPr>
      <w:r>
        <w:rPr>
          <w:rFonts w:ascii="Calibri" w:hAnsi="Calibri"/>
          <w:b w:val="0"/>
          <w:i w:val="0"/>
          <w:sz w:val="22"/>
        </w:rPr>
        <w:t>A2A PII Detector v1.0.1 (released Oct 3, 2025 by MuleSoft Organization) is checked.</w:t>
      </w:r>
    </w:p>
    <w:p>
      <w:pPr>
        <w:pStyle w:val="ListBullet"/>
      </w:pPr>
      <w:r>
        <w:rPr>
          <w:rFonts w:ascii="Calibri" w:hAnsi="Calibri"/>
          <w:b w:val="0"/>
          <w:i w:val="0"/>
          <w:sz w:val="22"/>
        </w:rPr>
        <w:t>This selection adds the dependency block shown below to exchange.json.</w:t>
      </w:r>
    </w:p>
    <w:p/>
    <w:p>
      <w:pPr>
        <w:spacing w:before="80" w:after="80"/>
        <w:ind w:left="567"/>
        <w:shd w:val="clear" w:color="auto" w:fill="F2F4F7"/>
      </w:pPr>
      <w:r>
        <w:rPr>
          <w:rFonts w:ascii="Courier New" w:hAnsi="Courier New"/>
          <w:color w:val="2B2B2B"/>
          <w:sz w:val="18"/>
        </w:rPr>
        <w:t>"dependencies": [</w:t>
        <w:br/>
        <w:t xml:space="preserve">  {</w:t>
        <w:br/>
        <w:t xml:space="preserve">    "classifier": "schema",</w:t>
        <w:br/>
        <w:t xml:space="preserve">    "packaging": "zip",</w:t>
        <w:br/>
        <w:t xml:space="preserve">    "groupId": "68ef9520-24e9-4cf2-b2f5-620025690913",</w:t>
        <w:br/>
        <w:t xml:space="preserve">    "assetId": "a-two-a-pii-detector",</w:t>
        <w:br/>
        <w:t xml:space="preserve">    "version": "1.0.1"</w:t>
        <w:br/>
        <w:t xml:space="preserve">  }</w:t>
        <w:br/>
        <w:t>]</w:t>
      </w:r>
    </w:p>
    <w:p>
      <w:r>
        <w:br w:type="page"/>
      </w:r>
    </w:p>
    <w:p>
      <w:pPr>
        <w:pStyle w:val="Heading1"/>
        <w:jc w:val="left"/>
      </w:pPr>
      <w:r>
        <w:rPr>
          <w:rFonts w:ascii="Calibri" w:hAnsi="Calibri"/>
          <w:color w:val="00407A"/>
        </w:rPr>
        <w:t>3. Exercise 2 — Publish to Anypoint Exchange</w:t>
      </w:r>
    </w:p>
    <w:p>
      <w:pPr>
        <w:spacing w:before="0" w:after="120"/>
      </w:pPr>
      <w:r>
        <w:rPr>
          <w:rFonts w:ascii="Calibri" w:hAnsi="Calibri"/>
          <w:sz w:val="22"/>
        </w:rPr>
        <w:t>The agent network was published to Anypoint Exchange using the Anypoint CLI. A single command reads agent-network.yaml and exchange.json and publishes all constituent assets: the broker, sub-agents, MCP servers, LLM provider, the Mule application, and the top-level agent-network descriptor.</w:t>
      </w:r>
    </w:p>
    <w:p>
      <w:pPr>
        <w:jc w:val="center"/>
      </w:pPr>
      <w:r>
        <w:drawing>
          <wp:inline xmlns:a="http://schemas.openxmlformats.org/drawingml/2006/main" xmlns:pic="http://schemas.openxmlformats.org/drawingml/2006/picture">
            <wp:extent cx="5303520" cy="3649295"/>
            <wp:docPr id="2" name="Picture 2"/>
            <wp:cNvGraphicFramePr>
              <a:graphicFrameLocks noChangeAspect="1"/>
            </wp:cNvGraphicFramePr>
            <a:graphic>
              <a:graphicData uri="http://schemas.openxmlformats.org/drawingml/2006/picture">
                <pic:pic>
                  <pic:nvPicPr>
                    <pic:cNvPr id="0" name="Exercise 4 – Task 2-5.jpg"/>
                    <pic:cNvPicPr/>
                  </pic:nvPicPr>
                  <pic:blipFill>
                    <a:blip r:embed="rId10"/>
                    <a:stretch>
                      <a:fillRect/>
                    </a:stretch>
                  </pic:blipFill>
                  <pic:spPr>
                    <a:xfrm>
                      <a:off x="0" y="0"/>
                      <a:ext cx="5303520" cy="3649295"/>
                    </a:xfrm>
                    <a:prstGeom prst="rect"/>
                  </pic:spPr>
                </pic:pic>
              </a:graphicData>
            </a:graphic>
          </wp:inline>
        </w:drawing>
      </w:r>
    </w:p>
    <w:p>
      <w:pPr>
        <w:spacing w:after="200"/>
        <w:jc w:val="center"/>
      </w:pPr>
      <w:r>
        <w:rPr>
          <w:rFonts w:ascii="Calibri" w:hAnsi="Calibri"/>
          <w:i/>
          <w:color w:val="555555"/>
          <w:sz w:val="18"/>
        </w:rPr>
        <w:t>Figure 2 — Anypoint Code Builder terminal: 36 assets published to Exchange.</w:t>
      </w:r>
    </w:p>
    <w:p>
      <w:pPr>
        <w:pStyle w:val="Heading2"/>
        <w:jc w:val="left"/>
      </w:pPr>
      <w:r>
        <w:rPr>
          <w:rFonts w:ascii="Calibri" w:hAnsi="Calibri"/>
          <w:color w:val="00407A"/>
        </w:rPr>
        <w:t>Key Output Lines</w:t>
      </w:r>
    </w:p>
    <w:p>
      <w:pPr>
        <w:spacing w:before="80" w:after="80"/>
        <w:ind w:left="567"/>
        <w:shd w:val="clear" w:color="auto" w:fill="F2F4F7"/>
      </w:pPr>
      <w:r>
        <w:rPr>
          <w:rFonts w:ascii="Courier New" w:hAnsi="Courier New"/>
          <w:color w:val="2B2B2B"/>
          <w:sz w:val="18"/>
        </w:rPr>
        <w:t>Publishing 'agent'        'Customer Verification Agent'   → verification-agent  v1.1</w:t>
        <w:br/>
        <w:t>Publishing 'mcp'          'Finance MCP Server'            → finance-mcp-server  v1.1</w:t>
        <w:br/>
        <w:t>Publishing 'mcp'          'Inventory MCP Server'          → inventory-mcp-server v1.1</w:t>
        <w:br/>
        <w:t>Publishing 'llm'          'Google Gemini'                 → google-gemini v1.1</w:t>
        <w:br/>
        <w:t>Publishing 'app'          'customer-complaint-resolution-mule-application'</w:t>
        <w:br/>
        <w:t>Publishing 'agent-network''Customer Complaint Resolution Network'</w:t>
        <w:br/>
        <w:t>✅  36 Assets from agent network 'customer-complaint-resolution' were published.</w:t>
        <w:br/>
        <w:t xml:space="preserve">    Group ID : e3ef37b3-16d8-493a-a57b-35b2d6ff2c9b</w:t>
        <w:br/>
        <w:t xml:space="preserve">    Published: https://anypoint.mulesoft.com/exchange/</w:t>
      </w:r>
    </w:p>
    <w:p>
      <w:r>
        <w:br w:type="page"/>
      </w:r>
    </w:p>
    <w:p>
      <w:pPr>
        <w:pStyle w:val="Heading1"/>
        <w:jc w:val="left"/>
      </w:pPr>
      <w:r>
        <w:rPr>
          <w:rFonts w:ascii="Calibri" w:hAnsi="Calibri"/>
          <w:color w:val="00407A"/>
        </w:rPr>
        <w:t>4. Exercise 3 — End-to-End Refund Test via Slack</w:t>
      </w:r>
    </w:p>
    <w:p>
      <w:pPr>
        <w:spacing w:before="0" w:after="120"/>
      </w:pPr>
      <w:r>
        <w:rPr>
          <w:rFonts w:ascii="Calibri" w:hAnsi="Calibri"/>
          <w:sz w:val="22"/>
        </w:rPr>
        <w:t>With the network deployed, the end-to-end flow was tested using RefundBot in Slack. A natural-language complaint triggers the full 5-step orchestration: customer verification via A2A, return request creation, shipping label generation, refund processing, and ledger entry — all within a single agent network invocation.</w:t>
      </w:r>
    </w:p>
    <w:p>
      <w:pPr>
        <w:jc w:val="center"/>
      </w:pPr>
      <w:r>
        <w:drawing>
          <wp:inline xmlns:a="http://schemas.openxmlformats.org/drawingml/2006/main" xmlns:pic="http://schemas.openxmlformats.org/drawingml/2006/picture">
            <wp:extent cx="5303520" cy="2620258"/>
            <wp:docPr id="3" name="Picture 3"/>
            <wp:cNvGraphicFramePr>
              <a:graphicFrameLocks noChangeAspect="1"/>
            </wp:cNvGraphicFramePr>
            <a:graphic>
              <a:graphicData uri="http://schemas.openxmlformats.org/drawingml/2006/picture">
                <pic:pic>
                  <pic:nvPicPr>
                    <pic:cNvPr id="0" name="Chat-success-with-agents.jpg"/>
                    <pic:cNvPicPr/>
                  </pic:nvPicPr>
                  <pic:blipFill>
                    <a:blip r:embed="rId11"/>
                    <a:stretch>
                      <a:fillRect/>
                    </a:stretch>
                  </pic:blipFill>
                  <pic:spPr>
                    <a:xfrm>
                      <a:off x="0" y="0"/>
                      <a:ext cx="5303520" cy="2620258"/>
                    </a:xfrm>
                    <a:prstGeom prst="rect"/>
                  </pic:spPr>
                </pic:pic>
              </a:graphicData>
            </a:graphic>
          </wp:inline>
        </w:drawing>
      </w:r>
    </w:p>
    <w:p>
      <w:pPr>
        <w:spacing w:after="200"/>
        <w:jc w:val="center"/>
      </w:pPr>
      <w:r>
        <w:rPr>
          <w:rFonts w:ascii="Calibri" w:hAnsi="Calibri"/>
          <w:i/>
          <w:color w:val="555555"/>
          <w:sz w:val="18"/>
        </w:rPr>
        <w:t>Figure 3 — Slack: RefundBot returns Refund ID REF000002 and Shipping Label URL in response to a natural-language return request.</w:t>
      </w:r>
    </w:p>
    <w:p>
      <w:pPr>
        <w:jc w:val="center"/>
      </w:pPr>
      <w:r>
        <w:drawing>
          <wp:inline xmlns:a="http://schemas.openxmlformats.org/drawingml/2006/main" xmlns:pic="http://schemas.openxmlformats.org/drawingml/2006/picture">
            <wp:extent cx="5303520" cy="2620258"/>
            <wp:docPr id="4" name="Picture 4"/>
            <wp:cNvGraphicFramePr>
              <a:graphicFrameLocks noChangeAspect="1"/>
            </wp:cNvGraphicFramePr>
            <a:graphic>
              <a:graphicData uri="http://schemas.openxmlformats.org/drawingml/2006/picture">
                <pic:pic>
                  <pic:nvPicPr>
                    <pic:cNvPr id="0" name="Chat-success-with-agents-more.jpg"/>
                    <pic:cNvPicPr/>
                  </pic:nvPicPr>
                  <pic:blipFill>
                    <a:blip r:embed="rId12"/>
                    <a:stretch>
                      <a:fillRect/>
                    </a:stretch>
                  </pic:blipFill>
                  <pic:spPr>
                    <a:xfrm>
                      <a:off x="0" y="0"/>
                      <a:ext cx="5303520" cy="2620258"/>
                    </a:xfrm>
                    <a:prstGeom prst="rect"/>
                  </pic:spPr>
                </pic:pic>
              </a:graphicData>
            </a:graphic>
          </wp:inline>
        </w:drawing>
      </w:r>
    </w:p>
    <w:p>
      <w:pPr>
        <w:spacing w:after="200"/>
        <w:jc w:val="center"/>
      </w:pPr>
      <w:r>
        <w:rPr>
          <w:rFonts w:ascii="Calibri" w:hAnsi="Calibri"/>
          <w:i/>
          <w:color w:val="555555"/>
          <w:sz w:val="18"/>
        </w:rPr>
        <w:t>Figure 4 — Slack thread: full multi-turn conversation showing the complete complaint resolution flow with expedited refund confirmation.</w:t>
      </w:r>
    </w:p>
    <w:p>
      <w:pPr>
        <w:pStyle w:val="Heading2"/>
        <w:jc w:val="left"/>
      </w:pPr>
      <w:r>
        <w:rPr>
          <w:rFonts w:ascii="Calibri" w:hAnsi="Calibri"/>
          <w:color w:val="00407A"/>
        </w:rPr>
        <w:t>Verified Response Content</w:t>
      </w:r>
    </w:p>
    <w:p>
      <w:pPr>
        <w:spacing w:before="80" w:after="80"/>
        <w:ind w:left="567"/>
        <w:shd w:val="clear" w:color="auto" w:fill="F2F4F7"/>
      </w:pPr>
      <w:r>
        <w:rPr>
          <w:rFonts w:ascii="Courier New" w:hAnsi="Courier New"/>
          <w:color w:val="2B2B2B"/>
          <w:sz w:val="18"/>
        </w:rPr>
        <w:t>User:    "I need to return the Laptop Stand for customer CUST002"</w:t>
        <w:br/>
        <w:br/>
        <w:t>Bot:     "Refund processed for CUST002 for order ORD003.</w:t>
        <w:br/>
        <w:t xml:space="preserve">          The refund ID is REF000002 and the return shipping label</w:t>
        <w:br/>
        <w:t xml:space="preserve">          can be found at https://shipping.example.com/labels/RET000002.pdf.</w:t>
        <w:br/>
        <w:t xml:space="preserve">          The refund is expedited and expected to be completed by 2026-04-21."</w:t>
      </w:r>
    </w:p>
    <w:p>
      <w:pPr>
        <w:pStyle w:val="Heading2"/>
        <w:jc w:val="left"/>
      </w:pPr>
      <w:r>
        <w:rPr>
          <w:rFonts w:ascii="Calibri" w:hAnsi="Calibri"/>
          <w:color w:val="00407A"/>
        </w:rPr>
        <w:t>5-Step Orchestration Confirmed</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0407A"/>
          </w:tcPr>
          <w:p>
            <w:r>
              <w:rPr>
                <w:rFonts w:ascii="Calibri" w:hAnsi="Calibri"/>
                <w:b/>
                <w:color w:val="FFFFFF"/>
                <w:sz w:val="20"/>
              </w:rPr>
              <w:t>Step</w:t>
            </w:r>
          </w:p>
        </w:tc>
        <w:tc>
          <w:tcPr>
            <w:tcW w:type="dxa" w:w="3135"/>
            <w:shd w:val="clear" w:color="auto" w:fill="00407A"/>
          </w:tcPr>
          <w:p>
            <w:r>
              <w:rPr>
                <w:rFonts w:ascii="Calibri" w:hAnsi="Calibri"/>
                <w:b/>
                <w:color w:val="FFFFFF"/>
                <w:sz w:val="20"/>
              </w:rPr>
              <w:t>Tool / Agent</w:t>
            </w:r>
          </w:p>
        </w:tc>
        <w:tc>
          <w:tcPr>
            <w:tcW w:type="dxa" w:w="3135"/>
            <w:shd w:val="clear" w:color="auto" w:fill="00407A"/>
          </w:tcPr>
          <w:p>
            <w:r>
              <w:rPr>
                <w:rFonts w:ascii="Calibri" w:hAnsi="Calibri"/>
                <w:b/>
                <w:color w:val="FFFFFF"/>
                <w:sz w:val="20"/>
              </w:rPr>
              <w:t>Result</w:t>
            </w:r>
          </w:p>
        </w:tc>
      </w:tr>
      <w:tr>
        <w:tc>
          <w:tcPr>
            <w:tcW w:type="dxa" w:w="3135"/>
            <w:shd w:val="clear" w:color="auto" w:fill="F2F4F7"/>
          </w:tcPr>
          <w:p>
            <w:r>
              <w:rPr>
                <w:rFonts w:ascii="Calibri" w:hAnsi="Calibri"/>
                <w:sz w:val="20"/>
              </w:rPr>
              <w:t>1</w:t>
            </w:r>
          </w:p>
        </w:tc>
        <w:tc>
          <w:tcPr>
            <w:tcW w:type="dxa" w:w="3135"/>
            <w:shd w:val="clear" w:color="auto" w:fill="F2F4F7"/>
          </w:tcPr>
          <w:p>
            <w:r>
              <w:rPr>
                <w:rFonts w:ascii="Calibri" w:hAnsi="Calibri"/>
                <w:sz w:val="20"/>
              </w:rPr>
              <w:t>verification-agent  (A2A)</w:t>
            </w:r>
          </w:p>
        </w:tc>
        <w:tc>
          <w:tcPr>
            <w:tcW w:type="dxa" w:w="3135"/>
            <w:shd w:val="clear" w:color="auto" w:fill="F2F4F7"/>
          </w:tcPr>
          <w:p>
            <w:r>
              <w:rPr>
                <w:rFonts w:ascii="Calibri" w:hAnsi="Calibri"/>
                <w:sz w:val="20"/>
              </w:rPr>
              <w:t>Customer CUST002 verified · expedited: true (loyalty tier)</w:t>
            </w:r>
          </w:p>
        </w:tc>
      </w:tr>
      <w:tr>
        <w:tc>
          <w:tcPr>
            <w:tcW w:type="dxa" w:w="3135"/>
          </w:tcPr>
          <w:p>
            <w:r>
              <w:rPr>
                <w:rFonts w:ascii="Calibri" w:hAnsi="Calibri"/>
                <w:sz w:val="20"/>
              </w:rPr>
              <w:t>2</w:t>
            </w:r>
          </w:p>
        </w:tc>
        <w:tc>
          <w:tcPr>
            <w:tcW w:type="dxa" w:w="3135"/>
          </w:tcPr>
          <w:p>
            <w:r>
              <w:rPr>
                <w:rFonts w:ascii="Calibri" w:hAnsi="Calibri"/>
                <w:sz w:val="20"/>
              </w:rPr>
              <w:t>create_return_request  (MCP Inventory)</w:t>
            </w:r>
          </w:p>
        </w:tc>
        <w:tc>
          <w:tcPr>
            <w:tcW w:type="dxa" w:w="3135"/>
          </w:tcPr>
          <w:p>
            <w:r>
              <w:rPr>
                <w:rFonts w:ascii="Calibri" w:hAnsi="Calibri"/>
                <w:sz w:val="20"/>
              </w:rPr>
              <w:t>Return created · returnId: RET000002</w:t>
            </w:r>
          </w:p>
        </w:tc>
      </w:tr>
      <w:tr>
        <w:tc>
          <w:tcPr>
            <w:tcW w:type="dxa" w:w="3135"/>
            <w:shd w:val="clear" w:color="auto" w:fill="F2F4F7"/>
          </w:tcPr>
          <w:p>
            <w:r>
              <w:rPr>
                <w:rFonts w:ascii="Calibri" w:hAnsi="Calibri"/>
                <w:sz w:val="20"/>
              </w:rPr>
              <w:t>3</w:t>
            </w:r>
          </w:p>
        </w:tc>
        <w:tc>
          <w:tcPr>
            <w:tcW w:type="dxa" w:w="3135"/>
            <w:shd w:val="clear" w:color="auto" w:fill="F2F4F7"/>
          </w:tcPr>
          <w:p>
            <w:r>
              <w:rPr>
                <w:rFonts w:ascii="Calibri" w:hAnsi="Calibri"/>
                <w:sz w:val="20"/>
              </w:rPr>
              <w:t>generate_return_label  (MCP Inventory)</w:t>
            </w:r>
          </w:p>
        </w:tc>
        <w:tc>
          <w:tcPr>
            <w:tcW w:type="dxa" w:w="3135"/>
            <w:shd w:val="clear" w:color="auto" w:fill="F2F4F7"/>
          </w:tcPr>
          <w:p>
            <w:r>
              <w:rPr>
                <w:rFonts w:ascii="Calibri" w:hAnsi="Calibri"/>
                <w:sz w:val="20"/>
              </w:rPr>
              <w:t>Label URL: .../RET000002.pdf</w:t>
            </w:r>
          </w:p>
        </w:tc>
      </w:tr>
      <w:tr>
        <w:tc>
          <w:tcPr>
            <w:tcW w:type="dxa" w:w="3135"/>
          </w:tcPr>
          <w:p>
            <w:r>
              <w:rPr>
                <w:rFonts w:ascii="Calibri" w:hAnsi="Calibri"/>
                <w:sz w:val="20"/>
              </w:rPr>
              <w:t>4</w:t>
            </w:r>
          </w:p>
        </w:tc>
        <w:tc>
          <w:tcPr>
            <w:tcW w:type="dxa" w:w="3135"/>
          </w:tcPr>
          <w:p>
            <w:r>
              <w:rPr>
                <w:rFonts w:ascii="Calibri" w:hAnsi="Calibri"/>
                <w:sz w:val="20"/>
              </w:rPr>
              <w:t>process_refund  (MCP Finance)</w:t>
            </w:r>
          </w:p>
        </w:tc>
        <w:tc>
          <w:tcPr>
            <w:tcW w:type="dxa" w:w="3135"/>
          </w:tcPr>
          <w:p>
            <w:r>
              <w:rPr>
                <w:rFonts w:ascii="Calibri" w:hAnsi="Calibri"/>
                <w:sz w:val="20"/>
              </w:rPr>
              <w:t>Refund approved · refundId: REF000002 · expedited</w:t>
            </w:r>
          </w:p>
        </w:tc>
      </w:tr>
      <w:tr>
        <w:tc>
          <w:tcPr>
            <w:tcW w:type="dxa" w:w="3135"/>
            <w:shd w:val="clear" w:color="auto" w:fill="F2F4F7"/>
          </w:tcPr>
          <w:p>
            <w:r>
              <w:rPr>
                <w:rFonts w:ascii="Calibri" w:hAnsi="Calibri"/>
                <w:sz w:val="20"/>
              </w:rPr>
              <w:t>5</w:t>
            </w:r>
          </w:p>
        </w:tc>
        <w:tc>
          <w:tcPr>
            <w:tcW w:type="dxa" w:w="3135"/>
            <w:shd w:val="clear" w:color="auto" w:fill="F2F4F7"/>
          </w:tcPr>
          <w:p>
            <w:r>
              <w:rPr>
                <w:rFonts w:ascii="Calibri" w:hAnsi="Calibri"/>
                <w:sz w:val="20"/>
              </w:rPr>
              <w:t>create_ledger_entry  (MCP Finance)</w:t>
            </w:r>
          </w:p>
        </w:tc>
        <w:tc>
          <w:tcPr>
            <w:tcW w:type="dxa" w:w="3135"/>
            <w:shd w:val="clear" w:color="auto" w:fill="F2F4F7"/>
          </w:tcPr>
          <w:p>
            <w:r>
              <w:rPr>
                <w:rFonts w:ascii="Calibri" w:hAnsi="Calibri"/>
                <w:sz w:val="20"/>
              </w:rPr>
              <w:t>Audit record written · linked to transaction</w:t>
            </w:r>
          </w:p>
        </w:tc>
      </w:tr>
    </w:tbl>
    <w:p/>
    <w:p>
      <w:pPr>
        <w:spacing w:before="0" w:after="120"/>
      </w:pPr>
      <w:r>
        <w:rPr>
          <w:rFonts w:ascii="Calibri" w:hAnsi="Calibri"/>
          <w:sz w:val="22"/>
        </w:rPr>
        <w:t>Note: Steps 3 and 4 run in parallel. The LLM orchestrator recognised the independence of the return label and refund operations and executed them concurrently, reducing total response time on the critical path. This was confirmed in the distributed trace (Section 6).</w:t>
      </w:r>
    </w:p>
    <w:p>
      <w:r>
        <w:br w:type="page"/>
      </w:r>
    </w:p>
    <w:p>
      <w:pPr>
        <w:pStyle w:val="Heading1"/>
        <w:jc w:val="left"/>
      </w:pPr>
      <w:r>
        <w:rPr>
          <w:rFonts w:ascii="Calibri" w:hAnsi="Calibri"/>
          <w:color w:val="00407A"/>
        </w:rPr>
        <w:t>5. Exercise 4 — A2A PII Detector Policy</w:t>
      </w:r>
    </w:p>
    <w:p>
      <w:pPr>
        <w:spacing w:before="0" w:after="120"/>
      </w:pPr>
      <w:r>
        <w:rPr>
          <w:rFonts w:ascii="Calibri" w:hAnsi="Calibri"/>
          <w:sz w:val="22"/>
        </w:rPr>
        <w:t>The A2A PII Detector policy was applied to the broker via the Flex Gateway, configured to detect US Social Security Numbers and reject the message with HTTP 401 before it reaches the LLM. This section documents the policy configuration and the verified rejection behaviour.</w:t>
      </w:r>
    </w:p>
    <w:p>
      <w:pPr>
        <w:pStyle w:val="Heading2"/>
        <w:jc w:val="left"/>
      </w:pPr>
      <w:r>
        <w:rPr>
          <w:rFonts w:ascii="Calibri" w:hAnsi="Calibri"/>
          <w:color w:val="00407A"/>
        </w:rPr>
        <w:t>5.1  Policy Configuration in agent-network.yaml</w:t>
      </w:r>
    </w:p>
    <w:p>
      <w:pPr>
        <w:spacing w:before="0" w:after="120"/>
      </w:pPr>
      <w:r>
        <w:rPr>
          <w:rFonts w:ascii="Calibri" w:hAnsi="Calibri"/>
          <w:sz w:val="22"/>
        </w:rPr>
        <w:t>The following YAML block was added to the broker spec:</w:t>
      </w:r>
    </w:p>
    <w:p>
      <w:pPr>
        <w:spacing w:before="80" w:after="80"/>
        <w:ind w:left="567"/>
        <w:shd w:val="clear" w:color="auto" w:fill="F2F4F7"/>
      </w:pPr>
      <w:r>
        <w:rPr>
          <w:rFonts w:ascii="Courier New" w:hAnsi="Courier New"/>
          <w:color w:val="2B2B2B"/>
          <w:sz w:val="18"/>
        </w:rPr>
        <w:t>policies:</w:t>
        <w:br/>
        <w:t xml:space="preserve">  - ref:</w:t>
        <w:br/>
        <w:t xml:space="preserve">      name: a-two-a-pii-detector</w:t>
        <w:br/>
        <w:t xml:space="preserve">      namespace: 68ef9520-24e9-4cf2-b2f5-620025690913</w:t>
        <w:br/>
        <w:t xml:space="preserve">    configuration:</w:t>
        <w:br/>
        <w:t xml:space="preserve">      entities:</w:t>
        <w:br/>
        <w:t xml:space="preserve">        - US SSN</w:t>
        <w:br/>
        <w:t xml:space="preserve">      action: Reject    # blocks message; returns 401 to caller</w:t>
      </w:r>
    </w:p>
    <w:p>
      <w:pPr>
        <w:jc w:val="center"/>
      </w:pPr>
      <w:r>
        <w:drawing>
          <wp:inline xmlns:a="http://schemas.openxmlformats.org/drawingml/2006/main" xmlns:pic="http://schemas.openxmlformats.org/drawingml/2006/picture">
            <wp:extent cx="5029200" cy="3346277"/>
            <wp:docPr id="5" name="Picture 5"/>
            <wp:cNvGraphicFramePr>
              <a:graphicFrameLocks noChangeAspect="1"/>
            </wp:cNvGraphicFramePr>
            <a:graphic>
              <a:graphicData uri="http://schemas.openxmlformats.org/drawingml/2006/picture">
                <pic:pic>
                  <pic:nvPicPr>
                    <pic:cNvPr id="0" name="Exercise 4 – Task 2-2.jpg"/>
                    <pic:cNvPicPr/>
                  </pic:nvPicPr>
                  <pic:blipFill>
                    <a:blip r:embed="rId13"/>
                    <a:stretch>
                      <a:fillRect/>
                    </a:stretch>
                  </pic:blipFill>
                  <pic:spPr>
                    <a:xfrm>
                      <a:off x="0" y="0"/>
                      <a:ext cx="5029200" cy="3346277"/>
                    </a:xfrm>
                    <a:prstGeom prst="rect"/>
                  </pic:spPr>
                </pic:pic>
              </a:graphicData>
            </a:graphic>
          </wp:inline>
        </w:drawing>
      </w:r>
    </w:p>
    <w:p>
      <w:pPr>
        <w:spacing w:after="200"/>
        <w:jc w:val="center"/>
      </w:pPr>
      <w:r>
        <w:rPr>
          <w:rFonts w:ascii="Calibri" w:hAnsi="Calibri"/>
          <w:i/>
          <w:color w:val="555555"/>
          <w:sz w:val="18"/>
        </w:rPr>
        <w:t>Figure 5 — YAML policy snippet added to agent-network.yaml in Anypoint Code Builder.</w:t>
      </w:r>
    </w:p>
    <w:p>
      <w:pPr>
        <w:jc w:val="center"/>
      </w:pPr>
      <w:r>
        <w:drawing>
          <wp:inline xmlns:a="http://schemas.openxmlformats.org/drawingml/2006/main" xmlns:pic="http://schemas.openxmlformats.org/drawingml/2006/picture">
            <wp:extent cx="5029200" cy="4566336"/>
            <wp:docPr id="6" name="Picture 6"/>
            <wp:cNvGraphicFramePr>
              <a:graphicFrameLocks noChangeAspect="1"/>
            </wp:cNvGraphicFramePr>
            <a:graphic>
              <a:graphicData uri="http://schemas.openxmlformats.org/drawingml/2006/picture">
                <pic:pic>
                  <pic:nvPicPr>
                    <pic:cNvPr id="0" name="Exercise 4 – Task 2-3.jpg"/>
                    <pic:cNvPicPr/>
                  </pic:nvPicPr>
                  <pic:blipFill>
                    <a:blip r:embed="rId14"/>
                    <a:stretch>
                      <a:fillRect/>
                    </a:stretch>
                  </pic:blipFill>
                  <pic:spPr>
                    <a:xfrm>
                      <a:off x="0" y="0"/>
                      <a:ext cx="5029200" cy="4566336"/>
                    </a:xfrm>
                    <a:prstGeom prst="rect"/>
                  </pic:spPr>
                </pic:pic>
              </a:graphicData>
            </a:graphic>
          </wp:inline>
        </w:drawing>
      </w:r>
    </w:p>
    <w:p>
      <w:pPr>
        <w:spacing w:after="200"/>
        <w:jc w:val="center"/>
      </w:pPr>
      <w:r>
        <w:rPr>
          <w:rFonts w:ascii="Calibri" w:hAnsi="Calibri"/>
          <w:i/>
          <w:color w:val="555555"/>
          <w:sz w:val="18"/>
        </w:rPr>
        <w:t>Figure 6 — exchange.json dependency block for a-two-a-pii-detector added.</w:t>
      </w:r>
    </w:p>
    <w:p>
      <w:pPr>
        <w:jc w:val="center"/>
      </w:pPr>
      <w:r>
        <w:drawing>
          <wp:inline xmlns:a="http://schemas.openxmlformats.org/drawingml/2006/main" xmlns:pic="http://schemas.openxmlformats.org/drawingml/2006/picture">
            <wp:extent cx="5029200" cy="5468955"/>
            <wp:docPr id="7" name="Picture 7"/>
            <wp:cNvGraphicFramePr>
              <a:graphicFrameLocks noChangeAspect="1"/>
            </wp:cNvGraphicFramePr>
            <a:graphic>
              <a:graphicData uri="http://schemas.openxmlformats.org/drawingml/2006/picture">
                <pic:pic>
                  <pic:nvPicPr>
                    <pic:cNvPr id="0" name="Exercise 4 – Task 2-6.jpg"/>
                    <pic:cNvPicPr/>
                  </pic:nvPicPr>
                  <pic:blipFill>
                    <a:blip r:embed="rId15"/>
                    <a:stretch>
                      <a:fillRect/>
                    </a:stretch>
                  </pic:blipFill>
                  <pic:spPr>
                    <a:xfrm>
                      <a:off x="0" y="0"/>
                      <a:ext cx="5029200" cy="5468955"/>
                    </a:xfrm>
                    <a:prstGeom prst="rect"/>
                  </pic:spPr>
                </pic:pic>
              </a:graphicData>
            </a:graphic>
          </wp:inline>
        </w:drawing>
      </w:r>
    </w:p>
    <w:p>
      <w:pPr>
        <w:spacing w:after="200"/>
        <w:jc w:val="center"/>
      </w:pPr>
      <w:r>
        <w:rPr>
          <w:rFonts w:ascii="Calibri" w:hAnsi="Calibri"/>
          <w:i/>
          <w:color w:val="555555"/>
          <w:sz w:val="18"/>
        </w:rPr>
        <w:t>Figure 7 — Anypoint API Manager: A2A PII Detector policy active on the broker endpoint.</w:t>
      </w:r>
    </w:p>
    <w:p>
      <w:pPr>
        <w:jc w:val="center"/>
      </w:pPr>
      <w:r>
        <w:drawing>
          <wp:inline xmlns:a="http://schemas.openxmlformats.org/drawingml/2006/main" xmlns:pic="http://schemas.openxmlformats.org/drawingml/2006/picture">
            <wp:extent cx="5029200" cy="1222404"/>
            <wp:docPr id="8" name="Picture 8"/>
            <wp:cNvGraphicFramePr>
              <a:graphicFrameLocks noChangeAspect="1"/>
            </wp:cNvGraphicFramePr>
            <a:graphic>
              <a:graphicData uri="http://schemas.openxmlformats.org/drawingml/2006/picture">
                <pic:pic>
                  <pic:nvPicPr>
                    <pic:cNvPr id="0" name="Exercise 4 – Task 2-7.jpg"/>
                    <pic:cNvPicPr/>
                  </pic:nvPicPr>
                  <pic:blipFill>
                    <a:blip r:embed="rId16"/>
                    <a:stretch>
                      <a:fillRect/>
                    </a:stretch>
                  </pic:blipFill>
                  <pic:spPr>
                    <a:xfrm>
                      <a:off x="0" y="0"/>
                      <a:ext cx="5029200" cy="1222404"/>
                    </a:xfrm>
                    <a:prstGeom prst="rect"/>
                  </pic:spPr>
                </pic:pic>
              </a:graphicData>
            </a:graphic>
          </wp:inline>
        </w:drawing>
      </w:r>
    </w:p>
    <w:p>
      <w:pPr>
        <w:spacing w:after="200"/>
        <w:jc w:val="center"/>
      </w:pPr>
      <w:r>
        <w:rPr>
          <w:rFonts w:ascii="Calibri" w:hAnsi="Calibri"/>
          <w:i/>
          <w:color w:val="555555"/>
          <w:sz w:val="18"/>
        </w:rPr>
        <w:t>Figure 8 — Policy detail: entity = US SSN, action = Reject.</w:t>
      </w:r>
    </w:p>
    <w:p>
      <w:pPr>
        <w:pStyle w:val="Heading2"/>
        <w:jc w:val="left"/>
      </w:pPr>
      <w:r>
        <w:rPr>
          <w:rFonts w:ascii="Calibri" w:hAnsi="Calibri"/>
          <w:color w:val="00407A"/>
        </w:rPr>
        <w:t>5.2  PII Rejection Verified</w:t>
      </w:r>
    </w:p>
    <w:p>
      <w:pPr>
        <w:spacing w:before="0" w:after="120"/>
      </w:pPr>
      <w:r>
        <w:rPr>
          <w:rFonts w:ascii="Calibri" w:hAnsi="Calibri"/>
          <w:sz w:val="22"/>
        </w:rPr>
        <w:t>A test message containing the SSN '000-11-1111' was submitted. The policy fired at the Flex Gateway ingress layer before the message reached the Mule flow or the Gemini LLM:</w:t>
      </w:r>
    </w:p>
    <w:p>
      <w:pPr>
        <w:jc w:val="center"/>
      </w:pPr>
      <w:r>
        <w:drawing>
          <wp:inline xmlns:a="http://schemas.openxmlformats.org/drawingml/2006/main" xmlns:pic="http://schemas.openxmlformats.org/drawingml/2006/picture">
            <wp:extent cx="5029200" cy="3188542"/>
            <wp:docPr id="9" name="Picture 9"/>
            <wp:cNvGraphicFramePr>
              <a:graphicFrameLocks noChangeAspect="1"/>
            </wp:cNvGraphicFramePr>
            <a:graphic>
              <a:graphicData uri="http://schemas.openxmlformats.org/drawingml/2006/picture">
                <pic:pic>
                  <pic:nvPicPr>
                    <pic:cNvPr id="0" name="Exercise 4 – Task 2-8.jpg"/>
                    <pic:cNvPicPr/>
                  </pic:nvPicPr>
                  <pic:blipFill>
                    <a:blip r:embed="rId17"/>
                    <a:stretch>
                      <a:fillRect/>
                    </a:stretch>
                  </pic:blipFill>
                  <pic:spPr>
                    <a:xfrm>
                      <a:off x="0" y="0"/>
                      <a:ext cx="5029200" cy="3188542"/>
                    </a:xfrm>
                    <a:prstGeom prst="rect"/>
                  </pic:spPr>
                </pic:pic>
              </a:graphicData>
            </a:graphic>
          </wp:inline>
        </w:drawing>
      </w:r>
    </w:p>
    <w:p>
      <w:pPr>
        <w:spacing w:after="200"/>
        <w:jc w:val="center"/>
      </w:pPr>
      <w:r>
        <w:rPr>
          <w:rFonts w:ascii="Calibri" w:hAnsi="Calibri"/>
          <w:i/>
          <w:color w:val="555555"/>
          <w:sz w:val="18"/>
        </w:rPr>
        <w:t>Figure 9 — Test request containing SSN 000-11-1111 submitted via Postman / Slack.</w:t>
      </w:r>
    </w:p>
    <w:p>
      <w:pPr>
        <w:jc w:val="center"/>
      </w:pPr>
      <w:r>
        <w:drawing>
          <wp:inline xmlns:a="http://schemas.openxmlformats.org/drawingml/2006/main" xmlns:pic="http://schemas.openxmlformats.org/drawingml/2006/picture">
            <wp:extent cx="5029200" cy="7138219"/>
            <wp:docPr id="10" name="Picture 10"/>
            <wp:cNvGraphicFramePr>
              <a:graphicFrameLocks noChangeAspect="1"/>
            </wp:cNvGraphicFramePr>
            <a:graphic>
              <a:graphicData uri="http://schemas.openxmlformats.org/drawingml/2006/picture">
                <pic:pic>
                  <pic:nvPicPr>
                    <pic:cNvPr id="0" name="Exercise 4 – Task 2-9.jpg"/>
                    <pic:cNvPicPr/>
                  </pic:nvPicPr>
                  <pic:blipFill>
                    <a:blip r:embed="rId18"/>
                    <a:stretch>
                      <a:fillRect/>
                    </a:stretch>
                  </pic:blipFill>
                  <pic:spPr>
                    <a:xfrm>
                      <a:off x="0" y="0"/>
                      <a:ext cx="5029200" cy="7138219"/>
                    </a:xfrm>
                    <a:prstGeom prst="rect"/>
                  </pic:spPr>
                </pic:pic>
              </a:graphicData>
            </a:graphic>
          </wp:inline>
        </w:drawing>
      </w:r>
    </w:p>
    <w:p>
      <w:pPr>
        <w:spacing w:after="200"/>
        <w:jc w:val="center"/>
      </w:pPr>
      <w:r>
        <w:rPr>
          <w:rFonts w:ascii="Calibri" w:hAnsi="Calibri"/>
          <w:i/>
          <w:color w:val="555555"/>
          <w:sz w:val="18"/>
        </w:rPr>
        <w:t>Figure 10 — HTTP 401 Unauthorized response. PII blocked at gateway.</w:t>
      </w:r>
    </w:p>
    <w:p>
      <w:pPr>
        <w:pStyle w:val="Heading2"/>
        <w:jc w:val="left"/>
      </w:pPr>
      <w:r>
        <w:rPr>
          <w:rFonts w:ascii="Calibri" w:hAnsi="Calibri"/>
          <w:color w:val="00407A"/>
        </w:rPr>
        <w:t>5.3  LLM Proxy Policies (Google Gemini)</w:t>
      </w:r>
    </w:p>
    <w:p>
      <w:pPr>
        <w:spacing w:before="0" w:after="120"/>
      </w:pPr>
      <w:r>
        <w:rPr>
          <w:rFonts w:ascii="Calibri" w:hAnsi="Calibri"/>
          <w:sz w:val="22"/>
        </w:rPr>
        <w:t>The Google Gemini LLM Proxy in Anypoint API Manager was configured with two inbound policies for observability:</w:t>
      </w:r>
    </w:p>
    <w:p>
      <w:pPr>
        <w:jc w:val="center"/>
      </w:pPr>
      <w:r>
        <w:drawing>
          <wp:inline xmlns:a="http://schemas.openxmlformats.org/drawingml/2006/main" xmlns:pic="http://schemas.openxmlformats.org/drawingml/2006/picture">
            <wp:extent cx="5029200" cy="2653421"/>
            <wp:docPr id="11" name="Picture 11"/>
            <wp:cNvGraphicFramePr>
              <a:graphicFrameLocks noChangeAspect="1"/>
            </wp:cNvGraphicFramePr>
            <a:graphic>
              <a:graphicData uri="http://schemas.openxmlformats.org/drawingml/2006/picture">
                <pic:pic>
                  <pic:nvPicPr>
                    <pic:cNvPr id="0" name="google-gmi-polices-add-1.jpg"/>
                    <pic:cNvPicPr/>
                  </pic:nvPicPr>
                  <pic:blipFill>
                    <a:blip r:embed="rId19"/>
                    <a:stretch>
                      <a:fillRect/>
                    </a:stretch>
                  </pic:blipFill>
                  <pic:spPr>
                    <a:xfrm>
                      <a:off x="0" y="0"/>
                      <a:ext cx="5029200" cy="2653421"/>
                    </a:xfrm>
                    <a:prstGeom prst="rect"/>
                  </pic:spPr>
                </pic:pic>
              </a:graphicData>
            </a:graphic>
          </wp:inline>
        </w:drawing>
      </w:r>
    </w:p>
    <w:p>
      <w:pPr>
        <w:spacing w:after="200"/>
        <w:jc w:val="center"/>
      </w:pPr>
      <w:r>
        <w:rPr>
          <w:rFonts w:ascii="Calibri" w:hAnsi="Calibri"/>
          <w:i/>
          <w:color w:val="555555"/>
          <w:sz w:val="18"/>
        </w:rPr>
        <w:t>Figure 11 — API Manager: LLM Proxies → Google Gemini → Policies overview.</w:t>
      </w:r>
    </w:p>
    <w:p>
      <w:pPr>
        <w:jc w:val="center"/>
      </w:pPr>
      <w:r>
        <w:drawing>
          <wp:inline xmlns:a="http://schemas.openxmlformats.org/drawingml/2006/main" xmlns:pic="http://schemas.openxmlformats.org/drawingml/2006/picture">
            <wp:extent cx="5029200" cy="2737769"/>
            <wp:docPr id="12" name="Picture 12"/>
            <wp:cNvGraphicFramePr>
              <a:graphicFrameLocks noChangeAspect="1"/>
            </wp:cNvGraphicFramePr>
            <a:graphic>
              <a:graphicData uri="http://schemas.openxmlformats.org/drawingml/2006/picture">
                <pic:pic>
                  <pic:nvPicPr>
                    <pic:cNvPr id="0" name="google-gmi-polices-add-3.jpg"/>
                    <pic:cNvPicPr/>
                  </pic:nvPicPr>
                  <pic:blipFill>
                    <a:blip r:embed="rId20"/>
                    <a:stretch>
                      <a:fillRect/>
                    </a:stretch>
                  </pic:blipFill>
                  <pic:spPr>
                    <a:xfrm>
                      <a:off x="0" y="0"/>
                      <a:ext cx="5029200" cy="2737769"/>
                    </a:xfrm>
                    <a:prstGeom prst="rect"/>
                  </pic:spPr>
                </pic:pic>
              </a:graphicData>
            </a:graphic>
          </wp:inline>
        </w:drawing>
      </w:r>
    </w:p>
    <w:p>
      <w:pPr>
        <w:spacing w:after="200"/>
        <w:jc w:val="center"/>
      </w:pPr>
      <w:r>
        <w:rPr>
          <w:rFonts w:ascii="Calibri" w:hAnsi="Calibri"/>
          <w:i/>
          <w:color w:val="555555"/>
          <w:sz w:val="18"/>
        </w:rPr>
        <w:t>Figure 12 — Inbound policies: Tracing (TROUBLESHOOTING) and Agent Connection Telemetry (CUSTOM).</w:t>
      </w:r>
    </w:p>
    <w:p>
      <w:pPr>
        <w:spacing w:before="0" w:after="120"/>
      </w:pPr>
      <w:r>
        <w:rPr>
          <w:rFonts w:ascii="Calibri" w:hAnsi="Calibri"/>
          <w:sz w:val="22"/>
        </w:rPr>
        <w:t>Important: The yellow warning banner in API Manager reads: This instance comes from an agent network project. Policy changes made here will be reverted next time it gets redeployed. This confirms that agent-network.yaml is the authoritative source of truth for all policy configuration.</w:t>
      </w:r>
    </w:p>
    <w:p>
      <w:r>
        <w:br w:type="page"/>
      </w:r>
    </w:p>
    <w:p>
      <w:pPr>
        <w:pStyle w:val="Heading1"/>
        <w:jc w:val="left"/>
      </w:pPr>
      <w:r>
        <w:rPr>
          <w:rFonts w:ascii="Calibri" w:hAnsi="Calibri"/>
          <w:color w:val="00407A"/>
        </w:rPr>
        <w:t>6. Exercise 5 — Agent Visualizer &amp; Distributed Tracing</w:t>
      </w:r>
    </w:p>
    <w:p>
      <w:pPr>
        <w:spacing w:before="0" w:after="120"/>
      </w:pPr>
      <w:r>
        <w:rPr>
          <w:rFonts w:ascii="Calibri" w:hAnsi="Calibri"/>
          <w:sz w:val="22"/>
        </w:rPr>
        <w:t>Exercise 5 verified observability across two dimensions: the Agent Visualizer provided a real-time topological view of the deployed network, while Anypoint Monitoring Traces provided a span-level audit trail of individual requests.</w:t>
      </w:r>
    </w:p>
    <w:p>
      <w:pPr>
        <w:pStyle w:val="Heading2"/>
        <w:jc w:val="left"/>
      </w:pPr>
      <w:r>
        <w:rPr>
          <w:rFonts w:ascii="Calibri" w:hAnsi="Calibri"/>
          <w:color w:val="00407A"/>
        </w:rPr>
        <w:t>6.1  Agent Visualizer — Live Network Topology</w:t>
      </w:r>
    </w:p>
    <w:p>
      <w:pPr>
        <w:spacing w:before="0" w:after="120"/>
      </w:pPr>
      <w:r>
        <w:rPr>
          <w:rFonts w:ascii="Calibri" w:hAnsi="Calibri"/>
          <w:sz w:val="22"/>
        </w:rPr>
        <w:t>The Agent Visualizer at anypoint.mulesoft.com/visualizer/agentvisualizer/ displays the live topology of the deployed agent network. Filters were set to Business Group 'Student13', Environment 'Sandbox', Activity Period 'Last 7 days'.</w:t>
      </w:r>
    </w:p>
    <w:p>
      <w:pPr>
        <w:jc w:val="center"/>
      </w:pPr>
      <w:r>
        <w:drawing>
          <wp:inline xmlns:a="http://schemas.openxmlformats.org/drawingml/2006/main" xmlns:pic="http://schemas.openxmlformats.org/drawingml/2006/picture">
            <wp:extent cx="5303520" cy="2537444"/>
            <wp:docPr id="13" name="Picture 13"/>
            <wp:cNvGraphicFramePr>
              <a:graphicFrameLocks noChangeAspect="1"/>
            </wp:cNvGraphicFramePr>
            <a:graphic>
              <a:graphicData uri="http://schemas.openxmlformats.org/drawingml/2006/picture">
                <pic:pic>
                  <pic:nvPicPr>
                    <pic:cNvPr id="0" name="Ex5-Student-Task1-1-AgentVisualizer-Initial.jpg"/>
                    <pic:cNvPicPr/>
                  </pic:nvPicPr>
                  <pic:blipFill>
                    <a:blip r:embed="rId21"/>
                    <a:stretch>
                      <a:fillRect/>
                    </a:stretch>
                  </pic:blipFill>
                  <pic:spPr>
                    <a:xfrm>
                      <a:off x="0" y="0"/>
                      <a:ext cx="5303520" cy="2537444"/>
                    </a:xfrm>
                    <a:prstGeom prst="rect"/>
                  </pic:spPr>
                </pic:pic>
              </a:graphicData>
            </a:graphic>
          </wp:inline>
        </w:drawing>
      </w:r>
    </w:p>
    <w:p>
      <w:pPr>
        <w:spacing w:after="200"/>
        <w:jc w:val="center"/>
      </w:pPr>
      <w:r>
        <w:rPr>
          <w:rFonts w:ascii="Calibri" w:hAnsi="Calibri"/>
          <w:i/>
          <w:color w:val="555555"/>
          <w:sz w:val="18"/>
        </w:rPr>
        <w:t>Figure 13 — Agent Visualizer: full topology graph. Complaint Resolution Broker (Agent/MuleSoft) connected to Customer Verification Agent (Agent/Customnodejs), Inventory MCP Server (MCP), and Finance MCP Server (MCP).</w:t>
      </w:r>
    </w:p>
    <w:p>
      <w:pPr>
        <w:jc w:val="center"/>
      </w:pPr>
      <w:r>
        <w:drawing>
          <wp:inline xmlns:a="http://schemas.openxmlformats.org/drawingml/2006/main" xmlns:pic="http://schemas.openxmlformats.org/drawingml/2006/picture">
            <wp:extent cx="5303520" cy="3361554"/>
            <wp:docPr id="14" name="Picture 14"/>
            <wp:cNvGraphicFramePr>
              <a:graphicFrameLocks noChangeAspect="1"/>
            </wp:cNvGraphicFramePr>
            <a:graphic>
              <a:graphicData uri="http://schemas.openxmlformats.org/drawingml/2006/picture">
                <pic:pic>
                  <pic:nvPicPr>
                    <pic:cNvPr id="0" name="Exercise-5-Task-1-2-Agent-Visualizer-Broker-Details.jpg"/>
                    <pic:cNvPicPr/>
                  </pic:nvPicPr>
                  <pic:blipFill>
                    <a:blip r:embed="rId22"/>
                    <a:stretch>
                      <a:fillRect/>
                    </a:stretch>
                  </pic:blipFill>
                  <pic:spPr>
                    <a:xfrm>
                      <a:off x="0" y="0"/>
                      <a:ext cx="5303520" cy="3361554"/>
                    </a:xfrm>
                    <a:prstGeom prst="rect"/>
                  </pic:spPr>
                </pic:pic>
              </a:graphicData>
            </a:graphic>
          </wp:inline>
        </w:drawing>
      </w:r>
    </w:p>
    <w:p>
      <w:pPr>
        <w:spacing w:after="200"/>
        <w:jc w:val="center"/>
      </w:pPr>
      <w:r>
        <w:rPr>
          <w:rFonts w:ascii="Calibri" w:hAnsi="Calibri"/>
          <w:i/>
          <w:color w:val="555555"/>
          <w:sz w:val="18"/>
        </w:rPr>
        <w:t>Figure 14 — Agent Visualizer: Broker detail panel confirming Active status, policies (A2A Agent Card, A2A PII Detector), and Flex Gateway governance.</w:t>
      </w:r>
    </w:p>
    <w:p>
      <w:pPr>
        <w:pStyle w:val="Heading3"/>
        <w:jc w:val="left"/>
      </w:pPr>
      <w:r>
        <w:rPr>
          <w:rFonts w:ascii="Calibri" w:hAnsi="Calibri"/>
          <w:color w:val="00407A"/>
        </w:rPr>
        <w:t>Broker Detail Panel — Extracted Data</w:t>
      </w:r>
    </w:p>
    <w:tbl>
      <w:tblPr>
        <w:tblStyle w:val="TableGrid"/>
        <w:tblW w:type="auto" w:w="0"/>
        <w:tblLook w:firstColumn="1" w:firstRow="1" w:lastColumn="0" w:lastRow="0" w:noHBand="0" w:noVBand="1" w:val="04A0"/>
      </w:tblPr>
      <w:tblGrid>
        <w:gridCol w:w="4703"/>
        <w:gridCol w:w="4703"/>
      </w:tblGrid>
      <w:tr>
        <w:tc>
          <w:tcPr>
            <w:tcW w:type="dxa" w:w="4703"/>
            <w:shd w:val="clear" w:color="auto" w:fill="00407A"/>
          </w:tcPr>
          <w:p>
            <w:r>
              <w:rPr>
                <w:rFonts w:ascii="Calibri" w:hAnsi="Calibri"/>
                <w:b/>
                <w:color w:val="FFFFFF"/>
                <w:sz w:val="20"/>
              </w:rPr>
              <w:t>Field</w:t>
            </w:r>
          </w:p>
        </w:tc>
        <w:tc>
          <w:tcPr>
            <w:tcW w:type="dxa" w:w="4703"/>
            <w:shd w:val="clear" w:color="auto" w:fill="00407A"/>
          </w:tcPr>
          <w:p>
            <w:r>
              <w:rPr>
                <w:rFonts w:ascii="Calibri" w:hAnsi="Calibri"/>
                <w:b/>
                <w:color w:val="FFFFFF"/>
                <w:sz w:val="20"/>
              </w:rPr>
              <w:t>Value</w:t>
            </w:r>
          </w:p>
        </w:tc>
      </w:tr>
      <w:tr>
        <w:tc>
          <w:tcPr>
            <w:tcW w:type="dxa" w:w="4703"/>
            <w:shd w:val="clear" w:color="auto" w:fill="F2F4F7"/>
          </w:tcPr>
          <w:p>
            <w:r>
              <w:rPr>
                <w:rFonts w:ascii="Calibri" w:hAnsi="Calibri"/>
                <w:sz w:val="20"/>
              </w:rPr>
              <w:t>Status</w:t>
            </w:r>
          </w:p>
        </w:tc>
        <w:tc>
          <w:tcPr>
            <w:tcW w:type="dxa" w:w="4703"/>
            <w:shd w:val="clear" w:color="auto" w:fill="F2F4F7"/>
          </w:tcPr>
          <w:p>
            <w:r>
              <w:rPr>
                <w:rFonts w:ascii="Calibri" w:hAnsi="Calibri"/>
                <w:sz w:val="20"/>
              </w:rPr>
              <w:t>Active</w:t>
            </w:r>
          </w:p>
        </w:tc>
      </w:tr>
      <w:tr>
        <w:tc>
          <w:tcPr>
            <w:tcW w:type="dxa" w:w="4703"/>
          </w:tcPr>
          <w:p>
            <w:r>
              <w:rPr>
                <w:rFonts w:ascii="Calibri" w:hAnsi="Calibri"/>
                <w:sz w:val="20"/>
              </w:rPr>
              <w:t>Business Group</w:t>
            </w:r>
          </w:p>
        </w:tc>
        <w:tc>
          <w:tcPr>
            <w:tcW w:type="dxa" w:w="4703"/>
          </w:tcPr>
          <w:p>
            <w:r>
              <w:rPr>
                <w:rFonts w:ascii="Calibri" w:hAnsi="Calibri"/>
                <w:sz w:val="20"/>
              </w:rPr>
              <w:t>Student13</w:t>
            </w:r>
          </w:p>
        </w:tc>
      </w:tr>
      <w:tr>
        <w:tc>
          <w:tcPr>
            <w:tcW w:type="dxa" w:w="4703"/>
            <w:shd w:val="clear" w:color="auto" w:fill="F2F4F7"/>
          </w:tcPr>
          <w:p>
            <w:r>
              <w:rPr>
                <w:rFonts w:ascii="Calibri" w:hAnsi="Calibri"/>
                <w:sz w:val="20"/>
              </w:rPr>
              <w:t>Environment (Type)</w:t>
            </w:r>
          </w:p>
        </w:tc>
        <w:tc>
          <w:tcPr>
            <w:tcW w:type="dxa" w:w="4703"/>
            <w:shd w:val="clear" w:color="auto" w:fill="F2F4F7"/>
          </w:tcPr>
          <w:p>
            <w:r>
              <w:rPr>
                <w:rFonts w:ascii="Calibri" w:hAnsi="Calibri"/>
                <w:sz w:val="20"/>
              </w:rPr>
              <w:t>Sandbox (Sandbox)</w:t>
            </w:r>
          </w:p>
        </w:tc>
      </w:tr>
      <w:tr>
        <w:tc>
          <w:tcPr>
            <w:tcW w:type="dxa" w:w="4703"/>
          </w:tcPr>
          <w:p>
            <w:r>
              <w:rPr>
                <w:rFonts w:ascii="Calibri" w:hAnsi="Calibri"/>
                <w:sz w:val="20"/>
              </w:rPr>
              <w:t>Based on Asset Version</w:t>
            </w:r>
          </w:p>
        </w:tc>
        <w:tc>
          <w:tcPr>
            <w:tcW w:type="dxa" w:w="4703"/>
          </w:tcPr>
          <w:p>
            <w:r>
              <w:rPr>
                <w:rFonts w:ascii="Calibri" w:hAnsi="Calibri"/>
                <w:sz w:val="20"/>
              </w:rPr>
              <w:t>v1.1.1</w:t>
            </w:r>
          </w:p>
        </w:tc>
      </w:tr>
      <w:tr>
        <w:tc>
          <w:tcPr>
            <w:tcW w:type="dxa" w:w="4703"/>
            <w:shd w:val="clear" w:color="auto" w:fill="F2F4F7"/>
          </w:tcPr>
          <w:p>
            <w:r>
              <w:rPr>
                <w:rFonts w:ascii="Calibri" w:hAnsi="Calibri"/>
                <w:sz w:val="20"/>
              </w:rPr>
              <w:t>A2A Policies</w:t>
            </w:r>
          </w:p>
        </w:tc>
        <w:tc>
          <w:tcPr>
            <w:tcW w:type="dxa" w:w="4703"/>
            <w:shd w:val="clear" w:color="auto" w:fill="F2F4F7"/>
          </w:tcPr>
          <w:p>
            <w:r>
              <w:rPr>
                <w:rFonts w:ascii="Calibri" w:hAnsi="Calibri"/>
                <w:sz w:val="20"/>
              </w:rPr>
              <w:t>A2A Agent Card  ·  A2A PII Detector</w:t>
            </w:r>
          </w:p>
        </w:tc>
      </w:tr>
      <w:tr>
        <w:tc>
          <w:tcPr>
            <w:tcW w:type="dxa" w:w="4703"/>
          </w:tcPr>
          <w:p>
            <w:r>
              <w:rPr>
                <w:rFonts w:ascii="Calibri" w:hAnsi="Calibri"/>
                <w:sz w:val="20"/>
              </w:rPr>
              <w:t>Transformation</w:t>
            </w:r>
          </w:p>
        </w:tc>
        <w:tc>
          <w:tcPr>
            <w:tcW w:type="dxa" w:w="4703"/>
          </w:tcPr>
          <w:p>
            <w:r>
              <w:rPr>
                <w:rFonts w:ascii="Calibri" w:hAnsi="Calibri"/>
                <w:sz w:val="20"/>
              </w:rPr>
              <w:t>Header Injection</w:t>
            </w:r>
          </w:p>
        </w:tc>
      </w:tr>
      <w:tr>
        <w:tc>
          <w:tcPr>
            <w:tcW w:type="dxa" w:w="4703"/>
            <w:shd w:val="clear" w:color="auto" w:fill="F2F4F7"/>
          </w:tcPr>
          <w:p>
            <w:r>
              <w:rPr>
                <w:rFonts w:ascii="Calibri" w:hAnsi="Calibri"/>
                <w:sz w:val="20"/>
              </w:rPr>
              <w:t>Troubleshooting</w:t>
            </w:r>
          </w:p>
        </w:tc>
        <w:tc>
          <w:tcPr>
            <w:tcW w:type="dxa" w:w="4703"/>
            <w:shd w:val="clear" w:color="auto" w:fill="F2F4F7"/>
          </w:tcPr>
          <w:p>
            <w:r>
              <w:rPr>
                <w:rFonts w:ascii="Calibri" w:hAnsi="Calibri"/>
                <w:sz w:val="20"/>
              </w:rPr>
              <w:t>Tracing</w:t>
            </w:r>
          </w:p>
        </w:tc>
      </w:tr>
      <w:tr>
        <w:tc>
          <w:tcPr>
            <w:tcW w:type="dxa" w:w="4703"/>
          </w:tcPr>
          <w:p>
            <w:r>
              <w:rPr>
                <w:rFonts w:ascii="Calibri" w:hAnsi="Calibri"/>
                <w:sz w:val="20"/>
              </w:rPr>
              <w:t>Governance &amp; Security</w:t>
            </w:r>
          </w:p>
        </w:tc>
        <w:tc>
          <w:tcPr>
            <w:tcW w:type="dxa" w:w="4703"/>
          </w:tcPr>
          <w:p>
            <w:r>
              <w:rPr>
                <w:rFonts w:ascii="Calibri" w:hAnsi="Calibri"/>
                <w:sz w:val="20"/>
              </w:rPr>
              <w:t>Managed and secured with Flex Gateway</w:t>
            </w:r>
          </w:p>
        </w:tc>
      </w:tr>
    </w:tbl>
    <w:p/>
    <w:p>
      <w:pPr>
        <w:pStyle w:val="Heading2"/>
        <w:jc w:val="left"/>
      </w:pPr>
      <w:r>
        <w:rPr>
          <w:rFonts w:ascii="Calibri" w:hAnsi="Calibri"/>
          <w:color w:val="00407A"/>
        </w:rPr>
        <w:t>6.2  Traces Overview — All Spans</w:t>
      </w:r>
    </w:p>
    <w:p>
      <w:pPr>
        <w:jc w:val="center"/>
      </w:pPr>
      <w:r>
        <w:drawing>
          <wp:inline xmlns:a="http://schemas.openxmlformats.org/drawingml/2006/main" xmlns:pic="http://schemas.openxmlformats.org/drawingml/2006/picture">
            <wp:extent cx="5303520" cy="3111646"/>
            <wp:docPr id="15" name="Picture 15"/>
            <wp:cNvGraphicFramePr>
              <a:graphicFrameLocks noChangeAspect="1"/>
            </wp:cNvGraphicFramePr>
            <a:graphic>
              <a:graphicData uri="http://schemas.openxmlformats.org/drawingml/2006/picture">
                <pic:pic>
                  <pic:nvPicPr>
                    <pic:cNvPr id="0" name="Exercise-5-Task-2-0-All-Traces-List.jpg"/>
                    <pic:cNvPicPr/>
                  </pic:nvPicPr>
                  <pic:blipFill>
                    <a:blip r:embed="rId23"/>
                    <a:stretch>
                      <a:fillRect/>
                    </a:stretch>
                  </pic:blipFill>
                  <pic:spPr>
                    <a:xfrm>
                      <a:off x="0" y="0"/>
                      <a:ext cx="5303520" cy="3111646"/>
                    </a:xfrm>
                    <a:prstGeom prst="rect"/>
                  </pic:spPr>
                </pic:pic>
              </a:graphicData>
            </a:graphic>
          </wp:inline>
        </w:drawing>
      </w:r>
    </w:p>
    <w:p>
      <w:pPr>
        <w:spacing w:after="200"/>
        <w:jc w:val="center"/>
      </w:pPr>
      <w:r>
        <w:rPr>
          <w:rFonts w:ascii="Calibri" w:hAnsi="Calibri"/>
          <w:i/>
          <w:color w:val="555555"/>
          <w:sz w:val="18"/>
        </w:rPr>
        <w:t>Figure 15 — Anypoint Monitoring Traces Overview: full span list for the Sandbox environment. All rows show 200 OK status with timestamps from 22 Apr 2026 at 12:42 am.</w:t>
      </w:r>
    </w:p>
    <w:p>
      <w:pPr>
        <w:jc w:val="center"/>
      </w:pPr>
      <w:r>
        <w:drawing>
          <wp:inline xmlns:a="http://schemas.openxmlformats.org/drawingml/2006/main" xmlns:pic="http://schemas.openxmlformats.org/drawingml/2006/picture">
            <wp:extent cx="5303520" cy="3167849"/>
            <wp:docPr id="16" name="Picture 16"/>
            <wp:cNvGraphicFramePr>
              <a:graphicFrameLocks noChangeAspect="1"/>
            </wp:cNvGraphicFramePr>
            <a:graphic>
              <a:graphicData uri="http://schemas.openxmlformats.org/drawingml/2006/picture">
                <pic:pic>
                  <pic:nvPicPr>
                    <pic:cNvPr id="0" name="Exercise-5-Task-2-1-Traces-List-Broker-Filtered.jpg"/>
                    <pic:cNvPicPr/>
                  </pic:nvPicPr>
                  <pic:blipFill>
                    <a:blip r:embed="rId24"/>
                    <a:stretch>
                      <a:fillRect/>
                    </a:stretch>
                  </pic:blipFill>
                  <pic:spPr>
                    <a:xfrm>
                      <a:off x="0" y="0"/>
                      <a:ext cx="5303520" cy="3167849"/>
                    </a:xfrm>
                    <a:prstGeom prst="rect"/>
                  </pic:spPr>
                </pic:pic>
              </a:graphicData>
            </a:graphic>
          </wp:inline>
        </w:drawing>
      </w:r>
    </w:p>
    <w:p>
      <w:pPr>
        <w:spacing w:after="200"/>
        <w:jc w:val="center"/>
      </w:pPr>
      <w:r>
        <w:rPr>
          <w:rFonts w:ascii="Calibri" w:hAnsi="Calibri"/>
          <w:i/>
          <w:color w:val="555555"/>
          <w:sz w:val="18"/>
        </w:rPr>
        <w:t>Figure 16 — Traces filtered by entity 'complaint-resolution-broker', showing only broker-rooted traces.</w:t>
      </w:r>
    </w:p>
    <w:p>
      <w:pPr>
        <w:pStyle w:val="Heading2"/>
        <w:jc w:val="left"/>
      </w:pPr>
      <w:r>
        <w:rPr>
          <w:rFonts w:ascii="Calibri" w:hAnsi="Calibri"/>
          <w:color w:val="00407A"/>
        </w:rPr>
        <w:t>6.3  Distributed Trace — Successful 5-Step Run</w:t>
      </w:r>
    </w:p>
    <w:p>
      <w:pPr>
        <w:spacing w:before="0" w:after="120"/>
      </w:pPr>
      <w:r>
        <w:rPr>
          <w:rFonts w:ascii="Calibri" w:hAnsi="Calibri"/>
          <w:sz w:val="22"/>
        </w:rPr>
        <w:t>The trace for a successful complaint resolution request confirms that all five orchestration steps executed, with LLM reasoning spans interleaved between agent and tool calls.</w:t>
      </w:r>
    </w:p>
    <w:p>
      <w:pPr>
        <w:jc w:val="center"/>
      </w:pPr>
      <w:r>
        <w:drawing>
          <wp:inline xmlns:a="http://schemas.openxmlformats.org/drawingml/2006/main" xmlns:pic="http://schemas.openxmlformats.org/drawingml/2006/picture">
            <wp:extent cx="5303520" cy="2655490"/>
            <wp:docPr id="17" name="Picture 17"/>
            <wp:cNvGraphicFramePr>
              <a:graphicFrameLocks noChangeAspect="1"/>
            </wp:cNvGraphicFramePr>
            <a:graphic>
              <a:graphicData uri="http://schemas.openxmlformats.org/drawingml/2006/picture">
                <pic:pic>
                  <pic:nvPicPr>
                    <pic:cNvPr id="0" name="Exercise-5-Task-2-2-Trace-Success-Full-Flow.jpg"/>
                    <pic:cNvPicPr/>
                  </pic:nvPicPr>
                  <pic:blipFill>
                    <a:blip r:embed="rId25"/>
                    <a:stretch>
                      <a:fillRect/>
                    </a:stretch>
                  </pic:blipFill>
                  <pic:spPr>
                    <a:xfrm>
                      <a:off x="0" y="0"/>
                      <a:ext cx="5303520" cy="2655490"/>
                    </a:xfrm>
                    <a:prstGeom prst="rect"/>
                  </pic:spPr>
                </pic:pic>
              </a:graphicData>
            </a:graphic>
          </wp:inline>
        </w:drawing>
      </w:r>
    </w:p>
    <w:p>
      <w:pPr>
        <w:spacing w:after="200"/>
        <w:jc w:val="center"/>
      </w:pPr>
      <w:r>
        <w:rPr>
          <w:rFonts w:ascii="Calibri" w:hAnsi="Calibri"/>
          <w:i/>
          <w:color w:val="555555"/>
          <w:sz w:val="18"/>
        </w:rPr>
        <w:t>Figure 17 — Trace Detail: Trace ID ddecffb6c76a554cee11cc53da7b35bc. 200 OK · 20.81s · 19 spans. Full waterfall showing Agent, LLM, and MCP Server spans.</w:t>
      </w:r>
    </w:p>
    <w:p>
      <w:pPr>
        <w:pStyle w:val="Heading3"/>
        <w:jc w:val="left"/>
      </w:pPr>
      <w:r>
        <w:rPr>
          <w:rFonts w:ascii="Calibri" w:hAnsi="Calibri"/>
          <w:color w:val="00407A"/>
        </w:rPr>
        <w:t>Verified Trace Metrics</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00407A"/>
          </w:tcPr>
          <w:p>
            <w:pPr>
              <w:jc w:val="center"/>
            </w:pPr>
            <w:r>
              <w:rPr>
                <w:rFonts w:ascii="Calibri" w:hAnsi="Calibri"/>
                <w:b/>
                <w:color w:val="FFFFFF"/>
                <w:sz w:val="20"/>
              </w:rPr>
              <w:t>Metric</w:t>
            </w:r>
          </w:p>
        </w:tc>
        <w:tc>
          <w:tcPr>
            <w:tcW w:type="dxa" w:w="4703"/>
            <w:shd w:val="clear" w:color="auto" w:fill="00407A"/>
          </w:tcPr>
          <w:p>
            <w:pPr>
              <w:jc w:val="center"/>
            </w:pPr>
            <w:r>
              <w:rPr>
                <w:rFonts w:ascii="Calibri" w:hAnsi="Calibri"/>
                <w:b/>
                <w:color w:val="FFFFFF"/>
                <w:sz w:val="20"/>
              </w:rPr>
              <w:t>Value</w:t>
            </w:r>
          </w:p>
        </w:tc>
      </w:tr>
      <w:tr>
        <w:tc>
          <w:tcPr>
            <w:tcW w:type="dxa" w:w="4703"/>
            <w:shd w:val="clear" w:color="auto" w:fill="F2F4F7"/>
          </w:tcPr>
          <w:p>
            <w:r>
              <w:rPr>
                <w:rFonts w:ascii="Calibri" w:hAnsi="Calibri"/>
                <w:sz w:val="20"/>
              </w:rPr>
              <w:t>Trace ID</w:t>
            </w:r>
          </w:p>
        </w:tc>
        <w:tc>
          <w:tcPr>
            <w:tcW w:type="dxa" w:w="4703"/>
            <w:shd w:val="clear" w:color="auto" w:fill="F2F4F7"/>
          </w:tcPr>
          <w:p>
            <w:r>
              <w:rPr>
                <w:rFonts w:ascii="Calibri" w:hAnsi="Calibri"/>
                <w:sz w:val="20"/>
              </w:rPr>
            </w:r>
            <w:r>
              <w:rPr>
                <w:rFonts w:ascii="Calibri" w:hAnsi="Calibri"/>
                <w:b/>
                <w:color w:val="1A1A1A"/>
                <w:sz w:val="20"/>
              </w:rPr>
              <w:t>ddecffb6c76a554cee11cc53da7b35bc</w:t>
            </w:r>
          </w:p>
        </w:tc>
      </w:tr>
      <w:tr>
        <w:tc>
          <w:tcPr>
            <w:tcW w:type="dxa" w:w="4703"/>
          </w:tcPr>
          <w:p>
            <w:r>
              <w:rPr>
                <w:rFonts w:ascii="Calibri" w:hAnsi="Calibri"/>
                <w:sz w:val="20"/>
              </w:rPr>
              <w:t>Status Code</w:t>
            </w:r>
          </w:p>
        </w:tc>
        <w:tc>
          <w:tcPr>
            <w:tcW w:type="dxa" w:w="4703"/>
          </w:tcPr>
          <w:p>
            <w:r>
              <w:rPr>
                <w:rFonts w:ascii="Calibri" w:hAnsi="Calibri"/>
                <w:sz w:val="20"/>
              </w:rPr>
            </w:r>
            <w:r>
              <w:rPr>
                <w:rFonts w:ascii="Calibri" w:hAnsi="Calibri"/>
                <w:b/>
                <w:color w:val="1A7A3C"/>
                <w:sz w:val="20"/>
              </w:rPr>
              <w:t>200 OK</w:t>
            </w:r>
          </w:p>
        </w:tc>
      </w:tr>
      <w:tr>
        <w:tc>
          <w:tcPr>
            <w:tcW w:type="dxa" w:w="4703"/>
            <w:shd w:val="clear" w:color="auto" w:fill="F2F4F7"/>
          </w:tcPr>
          <w:p>
            <w:r>
              <w:rPr>
                <w:rFonts w:ascii="Calibri" w:hAnsi="Calibri"/>
                <w:sz w:val="20"/>
              </w:rPr>
              <w:t>Total Response Time</w:t>
            </w:r>
          </w:p>
        </w:tc>
        <w:tc>
          <w:tcPr>
            <w:tcW w:type="dxa" w:w="4703"/>
            <w:shd w:val="clear" w:color="auto" w:fill="F2F4F7"/>
          </w:tcPr>
          <w:p>
            <w:r>
              <w:rPr>
                <w:rFonts w:ascii="Calibri" w:hAnsi="Calibri"/>
                <w:sz w:val="20"/>
              </w:rPr>
            </w:r>
            <w:r>
              <w:rPr>
                <w:rFonts w:ascii="Calibri" w:hAnsi="Calibri"/>
                <w:b/>
                <w:color w:val="006AD0"/>
                <w:sz w:val="20"/>
              </w:rPr>
              <w:t>20.81 seconds</w:t>
            </w:r>
          </w:p>
        </w:tc>
      </w:tr>
      <w:tr>
        <w:tc>
          <w:tcPr>
            <w:tcW w:type="dxa" w:w="4703"/>
          </w:tcPr>
          <w:p>
            <w:r>
              <w:rPr>
                <w:rFonts w:ascii="Calibri" w:hAnsi="Calibri"/>
                <w:sz w:val="20"/>
              </w:rPr>
              <w:t>Trace Start</w:t>
            </w:r>
          </w:p>
        </w:tc>
        <w:tc>
          <w:tcPr>
            <w:tcW w:type="dxa" w:w="4703"/>
          </w:tcPr>
          <w:p>
            <w:r>
              <w:rPr>
                <w:rFonts w:ascii="Calibri" w:hAnsi="Calibri"/>
                <w:sz w:val="20"/>
              </w:rPr>
            </w:r>
            <w:r>
              <w:rPr>
                <w:rFonts w:ascii="Calibri" w:hAnsi="Calibri"/>
                <w:b/>
                <w:color w:val="1A1A1A"/>
                <w:sz w:val="20"/>
              </w:rPr>
              <w:t>22 Apr 2026 at 12:42 am</w:t>
            </w:r>
          </w:p>
        </w:tc>
      </w:tr>
      <w:tr>
        <w:tc>
          <w:tcPr>
            <w:tcW w:type="dxa" w:w="4703"/>
            <w:shd w:val="clear" w:color="auto" w:fill="F2F4F7"/>
          </w:tcPr>
          <w:p>
            <w:r>
              <w:rPr>
                <w:rFonts w:ascii="Calibri" w:hAnsi="Calibri"/>
                <w:sz w:val="20"/>
              </w:rPr>
              <w:t>Root Span</w:t>
            </w:r>
          </w:p>
        </w:tc>
        <w:tc>
          <w:tcPr>
            <w:tcW w:type="dxa" w:w="4703"/>
            <w:shd w:val="clear" w:color="auto" w:fill="F2F4F7"/>
          </w:tcPr>
          <w:p>
            <w:r>
              <w:rPr>
                <w:rFonts w:ascii="Calibri" w:hAnsi="Calibri"/>
                <w:sz w:val="20"/>
              </w:rPr>
            </w:r>
            <w:r>
              <w:rPr>
                <w:rFonts w:ascii="Calibri" w:hAnsi="Calibri"/>
                <w:b/>
                <w:color w:val="1A1A1A"/>
                <w:sz w:val="20"/>
              </w:rPr>
              <w:t>[Agent] complaint-resolution-broker</w:t>
            </w:r>
          </w:p>
        </w:tc>
      </w:tr>
      <w:tr>
        <w:tc>
          <w:tcPr>
            <w:tcW w:type="dxa" w:w="4703"/>
          </w:tcPr>
          <w:p>
            <w:r>
              <w:rPr>
                <w:rFonts w:ascii="Calibri" w:hAnsi="Calibri"/>
                <w:sz w:val="20"/>
              </w:rPr>
              <w:t>Total Spans</w:t>
            </w:r>
          </w:p>
        </w:tc>
        <w:tc>
          <w:tcPr>
            <w:tcW w:type="dxa" w:w="4703"/>
          </w:tcPr>
          <w:p>
            <w:r>
              <w:rPr>
                <w:rFonts w:ascii="Calibri" w:hAnsi="Calibri"/>
                <w:sz w:val="20"/>
              </w:rPr>
            </w:r>
            <w:r>
              <w:rPr>
                <w:rFonts w:ascii="Calibri" w:hAnsi="Calibri"/>
                <w:b/>
                <w:color w:val="006AD0"/>
                <w:sz w:val="20"/>
              </w:rPr>
              <w:t>19</w:t>
            </w:r>
          </w:p>
        </w:tc>
      </w:tr>
    </w:tbl>
    <w:p/>
    <w:p>
      <w:pPr>
        <w:pStyle w:val="Heading3"/>
        <w:jc w:val="left"/>
      </w:pPr>
      <w:r>
        <w:rPr>
          <w:rFonts w:ascii="Calibri" w:hAnsi="Calibri"/>
          <w:color w:val="00407A"/>
        </w:rPr>
        <w:t>Span Hierarchy (key spans)</w:t>
      </w:r>
    </w:p>
    <w:p>
      <w:pPr>
        <w:spacing w:before="80" w:after="80"/>
        <w:ind w:left="567"/>
        <w:shd w:val="clear" w:color="auto" w:fill="F2F4F7"/>
      </w:pPr>
      <w:r>
        <w:rPr>
          <w:rFonts w:ascii="Courier New" w:hAnsi="Courier New"/>
          <w:color w:val="2B2B2B"/>
          <w:sz w:val="18"/>
        </w:rPr>
        <w:t>[Agent]      complaint-resolution-broker          20.81s</w:t>
        <w:br/>
        <w:t xml:space="preserve">  mule:flow                                       12.60s</w:t>
        <w:br/>
        <w:t xml:space="preserve">    [BROKER]  Complaint_Resolution_Broker         12.50s</w:t>
        <w:br/>
        <w:t xml:space="preserve">      [Agent] verification-agent                  255.79ms  ← Step 1: verify</w:t>
        <w:br/>
        <w:t xml:space="preserve">      [LLM]   google-gemini                       505.27ms  ← LLM reasoning</w:t>
        <w:br/>
        <w:t xml:space="preserve">      [Agent] verification-agent                  1.69s     ← A2A response</w:t>
        <w:br/>
        <w:t xml:space="preserve">      [LLM]   google-gemini                       539.27ms  ← LLM plans steps 2-5</w:t>
        <w:br/>
        <w:t xml:space="preserve">      [MCP Server] inventory-mcp-server           77.38ms   ← Step 2: create return</w:t>
        <w:br/>
        <w:t xml:space="preserve">      [LLM]   google-gemini                       833.73ms  ← Steps 3+4 (parallel)</w:t>
        <w:br/>
        <w:t xml:space="preserve">      [MCP Server] inventory-mcp-server           75.77ms   ← Step 3: return label</w:t>
        <w:br/>
        <w:t xml:space="preserve">      [LLM]   google-gemini                       551.71ms  ← Step 5: ledger</w:t>
        <w:br/>
      </w:r>
    </w:p>
    <w:p>
      <w:pPr>
        <w:spacing w:before="0" w:after="120"/>
      </w:pPr>
      <w:r>
        <w:rPr>
          <w:rFonts w:ascii="Calibri" w:hAnsi="Calibri"/>
          <w:sz w:val="22"/>
        </w:rPr>
        <w:t>Observation: Steps 3 (generate_return_label) and 4 (process_refund) produced overlapping spans in the trace waterfall, confirming that the Gemini orchestrator executed them in parallel as instructed. The Finance MCP Server spans appear within the same time window as the final Inventory MCP Server call.</w:t>
      </w:r>
    </w:p>
    <w:p>
      <w:pPr>
        <w:pStyle w:val="Heading2"/>
        <w:jc w:val="left"/>
      </w:pPr>
      <w:r>
        <w:rPr>
          <w:rFonts w:ascii="Calibri" w:hAnsi="Calibri"/>
          <w:color w:val="00407A"/>
        </w:rPr>
        <w:t>6.4  Distributed Trace — PII Rejection (401)</w:t>
      </w:r>
    </w:p>
    <w:p>
      <w:pPr>
        <w:spacing w:before="0" w:after="120"/>
      </w:pPr>
      <w:r>
        <w:rPr>
          <w:rFonts w:ascii="Calibri" w:hAnsi="Calibri"/>
          <w:sz w:val="22"/>
        </w:rPr>
        <w:t>A message containing a US SSN ('000-11-1111') was submitted to verify the PII Detector policy. The trace demonstrates that the message was stopped at the Flex Gateway ingress layer — the Gemini LLM was never invoked.</w:t>
      </w:r>
    </w:p>
    <w:p>
      <w:pPr>
        <w:jc w:val="center"/>
      </w:pPr>
      <w:r>
        <w:drawing>
          <wp:inline xmlns:a="http://schemas.openxmlformats.org/drawingml/2006/main" xmlns:pic="http://schemas.openxmlformats.org/drawingml/2006/picture">
            <wp:extent cx="5303520" cy="1320286"/>
            <wp:docPr id="18" name="Picture 18"/>
            <wp:cNvGraphicFramePr>
              <a:graphicFrameLocks noChangeAspect="1"/>
            </wp:cNvGraphicFramePr>
            <a:graphic>
              <a:graphicData uri="http://schemas.openxmlformats.org/drawingml/2006/picture">
                <pic:pic>
                  <pic:nvPicPr>
                    <pic:cNvPr id="0" name="Exercise-5-Task-2-3-Trace-Error-PII-401.jpg"/>
                    <pic:cNvPicPr/>
                  </pic:nvPicPr>
                  <pic:blipFill>
                    <a:blip r:embed="rId26"/>
                    <a:stretch>
                      <a:fillRect/>
                    </a:stretch>
                  </pic:blipFill>
                  <pic:spPr>
                    <a:xfrm>
                      <a:off x="0" y="0"/>
                      <a:ext cx="5303520" cy="1320286"/>
                    </a:xfrm>
                    <a:prstGeom prst="rect"/>
                  </pic:spPr>
                </pic:pic>
              </a:graphicData>
            </a:graphic>
          </wp:inline>
        </w:drawing>
      </w:r>
    </w:p>
    <w:p>
      <w:pPr>
        <w:spacing w:after="200"/>
        <w:jc w:val="center"/>
      </w:pPr>
      <w:r>
        <w:rPr>
          <w:rFonts w:ascii="Calibri" w:hAnsi="Calibri"/>
          <w:i/>
          <w:color w:val="555555"/>
          <w:sz w:val="18"/>
        </w:rPr>
        <w:t>Figure 18 — Trace Detail: 401 Unauthorized. 1.01s total. Only 1 span — no LLM or MCP Server spans. SSN blocked at gateway before reaching the LLM.</w:t>
      </w:r>
    </w:p>
    <w:p>
      <w:pPr>
        <w:pStyle w:val="Heading3"/>
        <w:jc w:val="left"/>
      </w:pPr>
      <w:r>
        <w:rPr>
          <w:rFonts w:ascii="Calibri" w:hAnsi="Calibri"/>
          <w:color w:val="00407A"/>
        </w:rPr>
        <w:t>PII Rejection Metrics vs. Success Metrics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0407A"/>
          </w:tcPr>
          <w:p>
            <w:r>
              <w:rPr>
                <w:rFonts w:ascii="Calibri" w:hAnsi="Calibri"/>
                <w:b/>
                <w:color w:val="FFFFFF"/>
                <w:sz w:val="20"/>
              </w:rPr>
              <w:t>Metric</w:t>
            </w:r>
          </w:p>
        </w:tc>
        <w:tc>
          <w:tcPr>
            <w:tcW w:type="dxa" w:w="3135"/>
            <w:shd w:val="clear" w:color="auto" w:fill="00407A"/>
          </w:tcPr>
          <w:p>
            <w:r>
              <w:rPr>
                <w:rFonts w:ascii="Calibri" w:hAnsi="Calibri"/>
                <w:b/>
                <w:color w:val="FFFFFF"/>
                <w:sz w:val="20"/>
              </w:rPr>
              <w:t>Success (clean message)</w:t>
            </w:r>
          </w:p>
        </w:tc>
        <w:tc>
          <w:tcPr>
            <w:tcW w:type="dxa" w:w="3135"/>
            <w:shd w:val="clear" w:color="auto" w:fill="00407A"/>
          </w:tcPr>
          <w:p>
            <w:r>
              <w:rPr>
                <w:rFonts w:ascii="Calibri" w:hAnsi="Calibri"/>
                <w:b/>
                <w:color w:val="FFFFFF"/>
                <w:sz w:val="20"/>
              </w:rPr>
              <w:t>PII Rejection (SSN in message)</w:t>
            </w:r>
          </w:p>
        </w:tc>
      </w:tr>
      <w:tr>
        <w:tc>
          <w:tcPr>
            <w:tcW w:type="dxa" w:w="3135"/>
            <w:shd w:val="clear" w:color="auto" w:fill="F2F4F7"/>
          </w:tcPr>
          <w:p>
            <w:r>
              <w:rPr>
                <w:rFonts w:ascii="Calibri" w:hAnsi="Calibri"/>
                <w:sz w:val="20"/>
              </w:rPr>
              <w:t>HTTP Status</w:t>
            </w:r>
          </w:p>
        </w:tc>
        <w:tc>
          <w:tcPr>
            <w:tcW w:type="dxa" w:w="3135"/>
            <w:shd w:val="clear" w:color="auto" w:fill="F2F4F7"/>
          </w:tcPr>
          <w:p>
            <w:r>
              <w:rPr>
                <w:rFonts w:ascii="Calibri" w:hAnsi="Calibri"/>
                <w:sz w:val="20"/>
              </w:rPr>
              <w:t>200 OK</w:t>
            </w:r>
          </w:p>
        </w:tc>
        <w:tc>
          <w:tcPr>
            <w:tcW w:type="dxa" w:w="3135"/>
            <w:shd w:val="clear" w:color="auto" w:fill="F2F4F7"/>
          </w:tcPr>
          <w:p>
            <w:r>
              <w:rPr>
                <w:rFonts w:ascii="Calibri" w:hAnsi="Calibri"/>
                <w:sz w:val="20"/>
              </w:rPr>
              <w:t>401 Unauthorized</w:t>
            </w:r>
          </w:p>
        </w:tc>
      </w:tr>
      <w:tr>
        <w:tc>
          <w:tcPr>
            <w:tcW w:type="dxa" w:w="3135"/>
          </w:tcPr>
          <w:p>
            <w:r>
              <w:rPr>
                <w:rFonts w:ascii="Calibri" w:hAnsi="Calibri"/>
                <w:sz w:val="20"/>
              </w:rPr>
              <w:t>Total Response Time</w:t>
            </w:r>
          </w:p>
        </w:tc>
        <w:tc>
          <w:tcPr>
            <w:tcW w:type="dxa" w:w="3135"/>
          </w:tcPr>
          <w:p>
            <w:r>
              <w:rPr>
                <w:rFonts w:ascii="Calibri" w:hAnsi="Calibri"/>
                <w:sz w:val="20"/>
              </w:rPr>
              <w:t>20.81s</w:t>
            </w:r>
          </w:p>
        </w:tc>
        <w:tc>
          <w:tcPr>
            <w:tcW w:type="dxa" w:w="3135"/>
          </w:tcPr>
          <w:p>
            <w:r>
              <w:rPr>
                <w:rFonts w:ascii="Calibri" w:hAnsi="Calibri"/>
                <w:sz w:val="20"/>
              </w:rPr>
              <w:t>1.01s</w:t>
            </w:r>
          </w:p>
        </w:tc>
      </w:tr>
      <w:tr>
        <w:tc>
          <w:tcPr>
            <w:tcW w:type="dxa" w:w="3135"/>
            <w:shd w:val="clear" w:color="auto" w:fill="F2F4F7"/>
          </w:tcPr>
          <w:p>
            <w:r>
              <w:rPr>
                <w:rFonts w:ascii="Calibri" w:hAnsi="Calibri"/>
                <w:sz w:val="20"/>
              </w:rPr>
              <w:t>Span Count</w:t>
            </w:r>
          </w:p>
        </w:tc>
        <w:tc>
          <w:tcPr>
            <w:tcW w:type="dxa" w:w="3135"/>
            <w:shd w:val="clear" w:color="auto" w:fill="F2F4F7"/>
          </w:tcPr>
          <w:p>
            <w:r>
              <w:rPr>
                <w:rFonts w:ascii="Calibri" w:hAnsi="Calibri"/>
                <w:sz w:val="20"/>
              </w:rPr>
              <w:t>19</w:t>
            </w:r>
          </w:p>
        </w:tc>
        <w:tc>
          <w:tcPr>
            <w:tcW w:type="dxa" w:w="3135"/>
            <w:shd w:val="clear" w:color="auto" w:fill="F2F4F7"/>
          </w:tcPr>
          <w:p>
            <w:r>
              <w:rPr>
                <w:rFonts w:ascii="Calibri" w:hAnsi="Calibri"/>
                <w:sz w:val="20"/>
              </w:rPr>
              <w:t>1</w:t>
            </w:r>
          </w:p>
        </w:tc>
      </w:tr>
      <w:tr>
        <w:tc>
          <w:tcPr>
            <w:tcW w:type="dxa" w:w="3135"/>
          </w:tcPr>
          <w:p>
            <w:r>
              <w:rPr>
                <w:rFonts w:ascii="Calibri" w:hAnsi="Calibri"/>
                <w:sz w:val="20"/>
              </w:rPr>
              <w:t>LLM Spans</w:t>
            </w:r>
          </w:p>
        </w:tc>
        <w:tc>
          <w:tcPr>
            <w:tcW w:type="dxa" w:w="3135"/>
          </w:tcPr>
          <w:p>
            <w:r>
              <w:rPr>
                <w:rFonts w:ascii="Calibri" w:hAnsi="Calibri"/>
                <w:sz w:val="20"/>
              </w:rPr>
              <w:t>4  (google-gemini)</w:t>
            </w:r>
          </w:p>
        </w:tc>
        <w:tc>
          <w:tcPr>
            <w:tcW w:type="dxa" w:w="3135"/>
          </w:tcPr>
          <w:p>
            <w:r>
              <w:rPr>
                <w:rFonts w:ascii="Calibri" w:hAnsi="Calibri"/>
                <w:sz w:val="20"/>
              </w:rPr>
              <w:t>0  — LLM never called</w:t>
            </w:r>
          </w:p>
        </w:tc>
      </w:tr>
      <w:tr>
        <w:tc>
          <w:tcPr>
            <w:tcW w:type="dxa" w:w="3135"/>
            <w:shd w:val="clear" w:color="auto" w:fill="F2F4F7"/>
          </w:tcPr>
          <w:p>
            <w:r>
              <w:rPr>
                <w:rFonts w:ascii="Calibri" w:hAnsi="Calibri"/>
                <w:sz w:val="20"/>
              </w:rPr>
              <w:t>MCP Server Spans</w:t>
            </w:r>
          </w:p>
        </w:tc>
        <w:tc>
          <w:tcPr>
            <w:tcW w:type="dxa" w:w="3135"/>
            <w:shd w:val="clear" w:color="auto" w:fill="F2F4F7"/>
          </w:tcPr>
          <w:p>
            <w:r>
              <w:rPr>
                <w:rFonts w:ascii="Calibri" w:hAnsi="Calibri"/>
                <w:sz w:val="20"/>
              </w:rPr>
              <w:t>2  (inventory + finance)</w:t>
            </w:r>
          </w:p>
        </w:tc>
        <w:tc>
          <w:tcPr>
            <w:tcW w:type="dxa" w:w="3135"/>
            <w:shd w:val="clear" w:color="auto" w:fill="F2F4F7"/>
          </w:tcPr>
          <w:p>
            <w:r>
              <w:rPr>
                <w:rFonts w:ascii="Calibri" w:hAnsi="Calibri"/>
                <w:sz w:val="20"/>
              </w:rPr>
              <w:t>0  — No tool calls</w:t>
            </w:r>
          </w:p>
        </w:tc>
      </w:tr>
      <w:tr>
        <w:tc>
          <w:tcPr>
            <w:tcW w:type="dxa" w:w="3135"/>
          </w:tcPr>
          <w:p>
            <w:r>
              <w:rPr>
                <w:rFonts w:ascii="Calibri" w:hAnsi="Calibri"/>
                <w:sz w:val="20"/>
              </w:rPr>
              <w:t>Trace Start</w:t>
            </w:r>
          </w:p>
        </w:tc>
        <w:tc>
          <w:tcPr>
            <w:tcW w:type="dxa" w:w="3135"/>
          </w:tcPr>
          <w:p>
            <w:r>
              <w:rPr>
                <w:rFonts w:ascii="Calibri" w:hAnsi="Calibri"/>
                <w:sz w:val="20"/>
              </w:rPr>
              <w:t>22 Apr 2026 12:42 am</w:t>
            </w:r>
          </w:p>
        </w:tc>
        <w:tc>
          <w:tcPr>
            <w:tcW w:type="dxa" w:w="3135"/>
          </w:tcPr>
          <w:p>
            <w:r>
              <w:rPr>
                <w:rFonts w:ascii="Calibri" w:hAnsi="Calibri"/>
                <w:sz w:val="20"/>
              </w:rPr>
              <w:t>20 Apr 2026 04:00 pm</w:t>
            </w:r>
          </w:p>
        </w:tc>
      </w:tr>
    </w:tbl>
    <w:p/>
    <w:p>
      <w:pPr>
        <w:spacing w:before="0" w:after="120"/>
      </w:pPr>
      <w:r>
        <w:rPr>
          <w:rFonts w:ascii="Calibri" w:hAnsi="Calibri"/>
          <w:sz w:val="22"/>
        </w:rPr>
        <w:t>This comparison is central to the governance argument: centralised enforcement at the gateway layer is categorically different from filtering inside agent code. The SSN cannot be memorised, logged, or accidentally forwarded by the LLM because the request is terminated at the network boundary before the Mule flow begins.</w:t>
      </w:r>
    </w:p>
    <w:p>
      <w:pPr>
        <w:pStyle w:val="Heading2"/>
        <w:jc w:val="left"/>
      </w:pPr>
      <w:r>
        <w:rPr>
          <w:rFonts w:ascii="Calibri" w:hAnsi="Calibri"/>
          <w:color w:val="00407A"/>
        </w:rPr>
        <w:t>6.5  Log Search — Structured Logs from Trace</w:t>
      </w:r>
    </w:p>
    <w:p>
      <w:pPr>
        <w:spacing w:before="0" w:after="120"/>
      </w:pPr>
      <w:r>
        <w:rPr>
          <w:rFonts w:ascii="Calibri" w:hAnsi="Calibri"/>
          <w:sz w:val="22"/>
        </w:rPr>
        <w:t>From the trace detail view, structured application logs were retrieved via Anypoint Monitoring Log Search, confirming that all runtime events are searchable, filterable, and correlated to their parent trace.</w:t>
      </w:r>
    </w:p>
    <w:p>
      <w:pPr>
        <w:jc w:val="center"/>
      </w:pPr>
      <w:r>
        <w:drawing>
          <wp:inline xmlns:a="http://schemas.openxmlformats.org/drawingml/2006/main" xmlns:pic="http://schemas.openxmlformats.org/drawingml/2006/picture">
            <wp:extent cx="5303520" cy="3203744"/>
            <wp:docPr id="19" name="Picture 19"/>
            <wp:cNvGraphicFramePr>
              <a:graphicFrameLocks noChangeAspect="1"/>
            </wp:cNvGraphicFramePr>
            <a:graphic>
              <a:graphicData uri="http://schemas.openxmlformats.org/drawingml/2006/picture">
                <pic:pic>
                  <pic:nvPicPr>
                    <pic:cNvPr id="0" name="Exercise-5-Task-2-4-Logs-From-Trace.jpg"/>
                    <pic:cNvPicPr/>
                  </pic:nvPicPr>
                  <pic:blipFill>
                    <a:blip r:embed="rId27"/>
                    <a:stretch>
                      <a:fillRect/>
                    </a:stretch>
                  </pic:blipFill>
                  <pic:spPr>
                    <a:xfrm>
                      <a:off x="0" y="0"/>
                      <a:ext cx="5303520" cy="3203744"/>
                    </a:xfrm>
                    <a:prstGeom prst="rect"/>
                  </pic:spPr>
                </pic:pic>
              </a:graphicData>
            </a:graphic>
          </wp:inline>
        </w:drawing>
      </w:r>
    </w:p>
    <w:p>
      <w:pPr>
        <w:spacing w:after="200"/>
        <w:jc w:val="center"/>
      </w:pPr>
      <w:r>
        <w:rPr>
          <w:rFonts w:ascii="Calibri" w:hAnsi="Calibri"/>
          <w:i/>
          <w:color w:val="555555"/>
          <w:sz w:val="18"/>
        </w:rPr>
        <w:t>Figure 19 — Anypoint Log Search: 102 hits linked to the trace. Structured JSON log entries from the Mule worker, class INSECURE-LOGGING.</w:t>
      </w:r>
    </w:p>
    <w:p>
      <w:pPr>
        <w:pStyle w:val="Heading3"/>
        <w:jc w:val="left"/>
      </w:pPr>
      <w:r>
        <w:rPr>
          <w:rFonts w:ascii="Calibri" w:hAnsi="Calibri"/>
          <w:color w:val="00407A"/>
        </w:rPr>
        <w:t>Extracted Log Metadata</w:t>
      </w:r>
    </w:p>
    <w:tbl>
      <w:tblPr>
        <w:tblStyle w:val="TableGrid"/>
        <w:tblW w:type="auto" w:w="0"/>
        <w:tblLook w:firstColumn="1" w:firstRow="1" w:lastColumn="0" w:lastRow="0" w:noHBand="0" w:noVBand="1" w:val="04A0"/>
      </w:tblPr>
      <w:tblGrid>
        <w:gridCol w:w="4703"/>
        <w:gridCol w:w="4703"/>
      </w:tblGrid>
      <w:tr>
        <w:tc>
          <w:tcPr>
            <w:tcW w:type="dxa" w:w="4703"/>
            <w:shd w:val="clear" w:color="auto" w:fill="00407A"/>
          </w:tcPr>
          <w:p>
            <w:r>
              <w:rPr>
                <w:rFonts w:ascii="Calibri" w:hAnsi="Calibri"/>
                <w:b/>
                <w:color w:val="FFFFFF"/>
                <w:sz w:val="20"/>
              </w:rPr>
              <w:t>Field</w:t>
            </w:r>
          </w:p>
        </w:tc>
        <w:tc>
          <w:tcPr>
            <w:tcW w:type="dxa" w:w="4703"/>
            <w:shd w:val="clear" w:color="auto" w:fill="00407A"/>
          </w:tcPr>
          <w:p>
            <w:r>
              <w:rPr>
                <w:rFonts w:ascii="Calibri" w:hAnsi="Calibri"/>
                <w:b/>
                <w:color w:val="FFFFFF"/>
                <w:sz w:val="20"/>
              </w:rPr>
              <w:t>Value</w:t>
            </w:r>
          </w:p>
        </w:tc>
      </w:tr>
      <w:tr>
        <w:tc>
          <w:tcPr>
            <w:tcW w:type="dxa" w:w="4703"/>
            <w:shd w:val="clear" w:color="auto" w:fill="F2F4F7"/>
          </w:tcPr>
          <w:p>
            <w:r>
              <w:rPr>
                <w:rFonts w:ascii="Calibri" w:hAnsi="Calibri"/>
                <w:sz w:val="20"/>
              </w:rPr>
              <w:t>Application</w:t>
            </w:r>
          </w:p>
        </w:tc>
        <w:tc>
          <w:tcPr>
            <w:tcW w:type="dxa" w:w="4703"/>
            <w:shd w:val="clear" w:color="auto" w:fill="F2F4F7"/>
          </w:tcPr>
          <w:p>
            <w:r>
              <w:rPr>
                <w:rFonts w:ascii="Calibri" w:hAnsi="Calibri"/>
                <w:sz w:val="20"/>
              </w:rPr>
              <w:t>customer-complaint-resolution</w:t>
            </w:r>
          </w:p>
        </w:tc>
      </w:tr>
      <w:tr>
        <w:tc>
          <w:tcPr>
            <w:tcW w:type="dxa" w:w="4703"/>
          </w:tcPr>
          <w:p>
            <w:r>
              <w:rPr>
                <w:rFonts w:ascii="Calibri" w:hAnsi="Calibri"/>
                <w:sz w:val="20"/>
              </w:rPr>
              <w:t>Log Count</w:t>
            </w:r>
          </w:p>
        </w:tc>
        <w:tc>
          <w:tcPr>
            <w:tcW w:type="dxa" w:w="4703"/>
          </w:tcPr>
          <w:p>
            <w:r>
              <w:rPr>
                <w:rFonts w:ascii="Calibri" w:hAnsi="Calibri"/>
                <w:sz w:val="20"/>
              </w:rPr>
              <w:t>102 hits</w:t>
            </w:r>
          </w:p>
        </w:tc>
      </w:tr>
      <w:tr>
        <w:tc>
          <w:tcPr>
            <w:tcW w:type="dxa" w:w="4703"/>
            <w:shd w:val="clear" w:color="auto" w:fill="F2F4F7"/>
          </w:tcPr>
          <w:p>
            <w:r>
              <w:rPr>
                <w:rFonts w:ascii="Calibri" w:hAnsi="Calibri"/>
                <w:sz w:val="20"/>
              </w:rPr>
              <w:t>Logger</w:t>
            </w:r>
          </w:p>
        </w:tc>
        <w:tc>
          <w:tcPr>
            <w:tcW w:type="dxa" w:w="4703"/>
            <w:shd w:val="clear" w:color="auto" w:fill="F2F4F7"/>
          </w:tcPr>
          <w:p>
            <w:r>
              <w:rPr>
                <w:rFonts w:ascii="Calibri" w:hAnsi="Calibri"/>
                <w:sz w:val="20"/>
              </w:rPr>
              <w:t>INSECURE-LOGGING</w:t>
            </w:r>
          </w:p>
        </w:tc>
      </w:tr>
      <w:tr>
        <w:tc>
          <w:tcPr>
            <w:tcW w:type="dxa" w:w="4703"/>
          </w:tcPr>
          <w:p>
            <w:r>
              <w:rPr>
                <w:rFonts w:ascii="Calibri" w:hAnsi="Calibri"/>
                <w:sz w:val="20"/>
              </w:rPr>
              <w:t>Log Level</w:t>
            </w:r>
          </w:p>
        </w:tc>
        <w:tc>
          <w:tcPr>
            <w:tcW w:type="dxa" w:w="4703"/>
          </w:tcPr>
          <w:p>
            <w:r>
              <w:rPr>
                <w:rFonts w:ascii="Calibri" w:hAnsi="Calibri"/>
                <w:sz w:val="20"/>
              </w:rPr>
              <w:t>DEBUG</w:t>
            </w:r>
          </w:p>
        </w:tc>
      </w:tr>
      <w:tr>
        <w:tc>
          <w:tcPr>
            <w:tcW w:type="dxa" w:w="4703"/>
            <w:shd w:val="clear" w:color="auto" w:fill="F2F4F7"/>
          </w:tcPr>
          <w:p>
            <w:r>
              <w:rPr>
                <w:rFonts w:ascii="Calibri" w:hAnsi="Calibri"/>
                <w:sz w:val="20"/>
              </w:rPr>
              <w:t>Worker ID</w:t>
            </w:r>
          </w:p>
        </w:tc>
        <w:tc>
          <w:tcPr>
            <w:tcW w:type="dxa" w:w="4703"/>
            <w:shd w:val="clear" w:color="auto" w:fill="F2F4F7"/>
          </w:tcPr>
          <w:p>
            <w:r>
              <w:rPr>
                <w:rFonts w:ascii="Calibri" w:hAnsi="Calibri"/>
                <w:sz w:val="20"/>
              </w:rPr>
              <w:t>customer-complaint-resolution-00b4bc746-hl15u</w:t>
            </w:r>
          </w:p>
        </w:tc>
      </w:tr>
      <w:tr>
        <w:tc>
          <w:tcPr>
            <w:tcW w:type="dxa" w:w="4703"/>
          </w:tcPr>
          <w:p>
            <w:r>
              <w:rPr>
                <w:rFonts w:ascii="Calibri" w:hAnsi="Calibri"/>
                <w:sz w:val="20"/>
              </w:rPr>
              <w:t>Timestamp</w:t>
            </w:r>
          </w:p>
        </w:tc>
        <w:tc>
          <w:tcPr>
            <w:tcW w:type="dxa" w:w="4703"/>
          </w:tcPr>
          <w:p>
            <w:r>
              <w:rPr>
                <w:rFonts w:ascii="Calibri" w:hAnsi="Calibri"/>
                <w:sz w:val="20"/>
              </w:rPr>
              <w:t>22 Apr 2026, 00:42</w:t>
            </w:r>
          </w:p>
        </w:tc>
      </w:tr>
      <w:tr>
        <w:tc>
          <w:tcPr>
            <w:tcW w:type="dxa" w:w="4703"/>
            <w:shd w:val="clear" w:color="auto" w:fill="F2F4F7"/>
          </w:tcPr>
          <w:p>
            <w:r>
              <w:rPr>
                <w:rFonts w:ascii="Calibri" w:hAnsi="Calibri"/>
                <w:sz w:val="20"/>
              </w:rPr>
              <w:t>Log Class</w:t>
            </w:r>
          </w:p>
        </w:tc>
        <w:tc>
          <w:tcPr>
            <w:tcW w:type="dxa" w:w="4703"/>
            <w:shd w:val="clear" w:color="auto" w:fill="F2F4F7"/>
          </w:tcPr>
          <w:p>
            <w:r>
              <w:rPr>
                <w:rFonts w:ascii="Calibri" w:hAnsi="Calibri"/>
                <w:sz w:val="20"/>
              </w:rPr>
              <w:t>MuleRuntimeJwt...[Customer-complaint-resolution.uber...]</w:t>
            </w:r>
          </w:p>
        </w:tc>
      </w:tr>
    </w:tbl>
    <w:p/>
    <w:p>
      <w:r>
        <w:br w:type="page"/>
      </w:r>
    </w:p>
    <w:p>
      <w:pPr>
        <w:pStyle w:val="Heading1"/>
        <w:jc w:val="left"/>
      </w:pPr>
      <w:r>
        <w:rPr>
          <w:rFonts w:ascii="Calibri" w:hAnsi="Calibri"/>
          <w:color w:val="00407A"/>
        </w:rPr>
        <w:t>7. Technical Notes for Scientific Publication</w:t>
      </w:r>
    </w:p>
    <w:p>
      <w:pPr>
        <w:spacing w:before="0" w:after="120"/>
      </w:pPr>
      <w:r>
        <w:rPr>
          <w:rFonts w:ascii="Calibri" w:hAnsi="Calibri"/>
          <w:sz w:val="22"/>
        </w:rPr>
        <w:t>This section summarises the novel technical observations from the implementation that are relevant for academic reference.</w:t>
      </w:r>
    </w:p>
    <w:p>
      <w:pPr>
        <w:pStyle w:val="ListBullet"/>
        <w:spacing w:after="120"/>
      </w:pPr>
      <w:r>
        <w:rPr>
          <w:rFonts w:ascii="Calibri" w:hAnsi="Calibri"/>
          <w:b/>
          <w:i w:val="0"/>
          <w:color w:val="00407A"/>
          <w:sz w:val="22"/>
        </w:rPr>
        <w:t xml:space="preserve">MCP Transport: </w:t>
      </w:r>
      <w:r>
        <w:rPr>
          <w:rFonts w:ascii="Calibri" w:hAnsi="Calibri"/>
          <w:b w:val="0"/>
          <w:i w:val="0"/>
          <w:sz w:val="22"/>
        </w:rPr>
        <w:t>MuleSoft Agent Fabric uses streamableHttp (not HTTP+SSE) as the MCP transport for tool server connections. This is a bidirectional streaming HTTP protocol that supports server-side push without requiring SSE infrastructure.</w:t>
      </w:r>
    </w:p>
    <w:p>
      <w:pPr>
        <w:pStyle w:val="ListBullet"/>
        <w:spacing w:after="120"/>
      </w:pPr>
      <w:r>
        <w:rPr>
          <w:rFonts w:ascii="Calibri" w:hAnsi="Calibri"/>
          <w:b/>
          <w:i w:val="0"/>
          <w:color w:val="00407A"/>
          <w:sz w:val="22"/>
        </w:rPr>
        <w:t xml:space="preserve">Schema Flattening Workaround: </w:t>
      </w:r>
      <w:r>
        <w:rPr>
          <w:rFonts w:ascii="Calibri" w:hAnsi="Calibri"/>
          <w:b w:val="0"/>
          <w:i w:val="0"/>
          <w:sz w:val="22"/>
        </w:rPr>
        <w:t>A known limitation in MuleSoft's ToolUtils.java prevents nested object properties in MCP tool input schemas. Customer address fields were therefore declared as six separate top-level strings (customerAddressName, customerAddressStreet, etc.) rather than a nested address object. This represents an active platform constraint as of April 2026.</w:t>
      </w:r>
    </w:p>
    <w:p>
      <w:pPr>
        <w:pStyle w:val="ListBullet"/>
        <w:spacing w:after="120"/>
      </w:pPr>
      <w:r>
        <w:rPr>
          <w:rFonts w:ascii="Calibri" w:hAnsi="Calibri"/>
          <w:b/>
          <w:i w:val="0"/>
          <w:color w:val="00407A"/>
          <w:sz w:val="22"/>
        </w:rPr>
        <w:t xml:space="preserve">OpenAI Strict Mode Compatibility: </w:t>
      </w:r>
      <w:r>
        <w:rPr>
          <w:rFonts w:ascii="Calibri" w:hAnsi="Calibri"/>
          <w:b w:val="0"/>
          <w:i w:val="0"/>
          <w:sz w:val="22"/>
        </w:rPr>
        <w:t>All tool schemas use additionalProperties: false and declare every property in required[], including a contextId field. This satisfies OpenAI Strict Mode validation used by the Gemini gateway adapter. The contextId also serves as a distributed trace correlation key, linking all spans in a single orchestration run.</w:t>
      </w:r>
    </w:p>
    <w:p>
      <w:pPr>
        <w:pStyle w:val="ListBullet"/>
        <w:spacing w:after="120"/>
      </w:pPr>
      <w:r>
        <w:rPr>
          <w:rFonts w:ascii="Calibri" w:hAnsi="Calibri"/>
          <w:b/>
          <w:i w:val="0"/>
          <w:color w:val="00407A"/>
          <w:sz w:val="22"/>
        </w:rPr>
        <w:t xml:space="preserve">Gateway-Level PII Enforcement: </w:t>
      </w:r>
      <w:r>
        <w:rPr>
          <w:rFonts w:ascii="Calibri" w:hAnsi="Calibri"/>
          <w:b w:val="0"/>
          <w:i w:val="0"/>
          <w:sz w:val="22"/>
        </w:rPr>
        <w:t>The A2A PII Detector policy operates at the Flex Gateway ingress layer, prior to the Mule flow execution. This is evidenced by the trace comparison: a rejected message produces a single span (no mule:flow child span), while a successful message produces 19 spans including flow execution, LLM calls, and MCP tool calls. The LLM cannot observe PII because the request never enters the runtime.</w:t>
      </w:r>
    </w:p>
    <w:p>
      <w:pPr>
        <w:pStyle w:val="ListBullet"/>
        <w:spacing w:after="120"/>
      </w:pPr>
      <w:r>
        <w:rPr>
          <w:rFonts w:ascii="Calibri" w:hAnsi="Calibri"/>
          <w:b/>
          <w:i w:val="0"/>
          <w:color w:val="00407A"/>
          <w:sz w:val="22"/>
        </w:rPr>
        <w:t xml:space="preserve">Parallel Orchestration: </w:t>
      </w:r>
      <w:r>
        <w:rPr>
          <w:rFonts w:ascii="Calibri" w:hAnsi="Calibri"/>
          <w:b w:val="0"/>
          <w:i w:val="0"/>
          <w:sz w:val="22"/>
        </w:rPr>
        <w:t>The Gemini LLM orchestrator, when instructed that two steps are independent, executes them concurrently. This was confirmed by overlapping MCP Server and LLM spans in the trace waterfall for steps 3 (generate_return_label) and 4 (process_refund). This demonstrates that LLM-based orchestration can reason about causal dependencies and optimise execution paths without explicit parallel execution constructs.</w:t>
      </w:r>
    </w:p>
    <w:p>
      <w:pPr>
        <w:pStyle w:val="ListBullet"/>
        <w:spacing w:after="120"/>
      </w:pPr>
      <w:r>
        <w:rPr>
          <w:rFonts w:ascii="Calibri" w:hAnsi="Calibri"/>
          <w:b/>
          <w:i w:val="0"/>
          <w:color w:val="00407A"/>
          <w:sz w:val="22"/>
        </w:rPr>
        <w:t xml:space="preserve">Agent Visualizer Governance Confirmation: </w:t>
      </w:r>
      <w:r>
        <w:rPr>
          <w:rFonts w:ascii="Calibri" w:hAnsi="Calibri"/>
          <w:b w:val="0"/>
          <w:i w:val="0"/>
          <w:sz w:val="22"/>
        </w:rPr>
        <w:t>The Anypoint Agent Visualizer displays active governance policies on each broker node. The presence of the 'A2A PII Detector' badge and 'Managed and secured with Flex Gateway' label in the detail panel confirms that governance is structurally enforced — not just configured but verifiably active in the deployed runtime.</w:t>
      </w:r>
    </w:p>
    <w:p>
      <w:r>
        <w:br w:type="page"/>
      </w:r>
    </w:p>
    <w:p>
      <w:pPr>
        <w:pStyle w:val="Heading1"/>
        <w:jc w:val="left"/>
      </w:pPr>
      <w:r>
        <w:rPr>
          <w:rFonts w:ascii="Calibri" w:hAnsi="Calibri"/>
          <w:color w:val="00407A"/>
        </w:rPr>
        <w:t>8. Figure Index</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0407A"/>
          </w:tcPr>
          <w:p>
            <w:r>
              <w:rPr>
                <w:rFonts w:ascii="Calibri" w:hAnsi="Calibri"/>
                <w:b/>
                <w:color w:val="FFFFFF"/>
                <w:sz w:val="20"/>
              </w:rPr>
              <w:t>Figure</w:t>
            </w:r>
          </w:p>
        </w:tc>
        <w:tc>
          <w:tcPr>
            <w:tcW w:type="dxa" w:w="3135"/>
            <w:shd w:val="clear" w:color="auto" w:fill="00407A"/>
          </w:tcPr>
          <w:p>
            <w:r>
              <w:rPr>
                <w:rFonts w:ascii="Calibri" w:hAnsi="Calibri"/>
                <w:b/>
                <w:color w:val="FFFFFF"/>
                <w:sz w:val="20"/>
              </w:rPr>
              <w:t>Description</w:t>
            </w:r>
          </w:p>
        </w:tc>
        <w:tc>
          <w:tcPr>
            <w:tcW w:type="dxa" w:w="3135"/>
            <w:shd w:val="clear" w:color="auto" w:fill="00407A"/>
          </w:tcPr>
          <w:p>
            <w:r>
              <w:rPr>
                <w:rFonts w:ascii="Calibri" w:hAnsi="Calibri"/>
                <w:b/>
                <w:color w:val="FFFFFF"/>
                <w:sz w:val="20"/>
              </w:rPr>
              <w:t>Source Screenshot</w:t>
            </w:r>
          </w:p>
        </w:tc>
      </w:tr>
      <w:tr>
        <w:tc>
          <w:tcPr>
            <w:tcW w:type="dxa" w:w="3135"/>
            <w:shd w:val="clear" w:color="auto" w:fill="F2F4F7"/>
          </w:tcPr>
          <w:p>
            <w:r>
              <w:rPr>
                <w:rFonts w:ascii="Calibri" w:hAnsi="Calibri"/>
                <w:sz w:val="20"/>
              </w:rPr>
              <w:t>1</w:t>
            </w:r>
          </w:p>
        </w:tc>
        <w:tc>
          <w:tcPr>
            <w:tcW w:type="dxa" w:w="3135"/>
            <w:shd w:val="clear" w:color="auto" w:fill="F2F4F7"/>
          </w:tcPr>
          <w:p>
            <w:r>
              <w:rPr>
                <w:rFonts w:ascii="Calibri" w:hAnsi="Calibri"/>
                <w:sz w:val="20"/>
              </w:rPr>
              <w:t>Add Exchange Assets dialog — A2A PII Detector selected</w:t>
            </w:r>
          </w:p>
        </w:tc>
        <w:tc>
          <w:tcPr>
            <w:tcW w:type="dxa" w:w="3135"/>
            <w:shd w:val="clear" w:color="auto" w:fill="F2F4F7"/>
          </w:tcPr>
          <w:p>
            <w:r>
              <w:rPr>
                <w:rFonts w:ascii="Calibri" w:hAnsi="Calibri"/>
                <w:sz w:val="20"/>
              </w:rPr>
              <w:t>Exercise 4 – Task 2-1.jpg</w:t>
            </w:r>
          </w:p>
        </w:tc>
      </w:tr>
      <w:tr>
        <w:tc>
          <w:tcPr>
            <w:tcW w:type="dxa" w:w="3135"/>
          </w:tcPr>
          <w:p>
            <w:r>
              <w:rPr>
                <w:rFonts w:ascii="Calibri" w:hAnsi="Calibri"/>
                <w:sz w:val="20"/>
              </w:rPr>
              <w:t>2</w:t>
            </w:r>
          </w:p>
        </w:tc>
        <w:tc>
          <w:tcPr>
            <w:tcW w:type="dxa" w:w="3135"/>
          </w:tcPr>
          <w:p>
            <w:r>
              <w:rPr>
                <w:rFonts w:ascii="Calibri" w:hAnsi="Calibri"/>
                <w:sz w:val="20"/>
              </w:rPr>
              <w:t>Terminal: 36 assets published to Exchange</w:t>
            </w:r>
          </w:p>
        </w:tc>
        <w:tc>
          <w:tcPr>
            <w:tcW w:type="dxa" w:w="3135"/>
          </w:tcPr>
          <w:p>
            <w:r>
              <w:rPr>
                <w:rFonts w:ascii="Calibri" w:hAnsi="Calibri"/>
                <w:sz w:val="20"/>
              </w:rPr>
              <w:t>Exercise 4 – Task 2-5.jpg</w:t>
            </w:r>
          </w:p>
        </w:tc>
      </w:tr>
      <w:tr>
        <w:tc>
          <w:tcPr>
            <w:tcW w:type="dxa" w:w="3135"/>
            <w:shd w:val="clear" w:color="auto" w:fill="F2F4F7"/>
          </w:tcPr>
          <w:p>
            <w:r>
              <w:rPr>
                <w:rFonts w:ascii="Calibri" w:hAnsi="Calibri"/>
                <w:sz w:val="20"/>
              </w:rPr>
              <w:t>3</w:t>
            </w:r>
          </w:p>
        </w:tc>
        <w:tc>
          <w:tcPr>
            <w:tcW w:type="dxa" w:w="3135"/>
            <w:shd w:val="clear" w:color="auto" w:fill="F2F4F7"/>
          </w:tcPr>
          <w:p>
            <w:r>
              <w:rPr>
                <w:rFonts w:ascii="Calibri" w:hAnsi="Calibri"/>
                <w:sz w:val="20"/>
              </w:rPr>
              <w:t>Slack: RefundBot returns REF000002 + Shipping Label URL</w:t>
            </w:r>
          </w:p>
        </w:tc>
        <w:tc>
          <w:tcPr>
            <w:tcW w:type="dxa" w:w="3135"/>
            <w:shd w:val="clear" w:color="auto" w:fill="F2F4F7"/>
          </w:tcPr>
          <w:p>
            <w:r>
              <w:rPr>
                <w:rFonts w:ascii="Calibri" w:hAnsi="Calibri"/>
                <w:sz w:val="20"/>
              </w:rPr>
              <w:t>Chat-success-with-agents.jpg</w:t>
            </w:r>
          </w:p>
        </w:tc>
      </w:tr>
      <w:tr>
        <w:tc>
          <w:tcPr>
            <w:tcW w:type="dxa" w:w="3135"/>
          </w:tcPr>
          <w:p>
            <w:r>
              <w:rPr>
                <w:rFonts w:ascii="Calibri" w:hAnsi="Calibri"/>
                <w:sz w:val="20"/>
              </w:rPr>
              <w:t>4</w:t>
            </w:r>
          </w:p>
        </w:tc>
        <w:tc>
          <w:tcPr>
            <w:tcW w:type="dxa" w:w="3135"/>
          </w:tcPr>
          <w:p>
            <w:r>
              <w:rPr>
                <w:rFonts w:ascii="Calibri" w:hAnsi="Calibri"/>
                <w:sz w:val="20"/>
              </w:rPr>
              <w:t>Slack thread: full resolution conversation</w:t>
            </w:r>
          </w:p>
        </w:tc>
        <w:tc>
          <w:tcPr>
            <w:tcW w:type="dxa" w:w="3135"/>
          </w:tcPr>
          <w:p>
            <w:r>
              <w:rPr>
                <w:rFonts w:ascii="Calibri" w:hAnsi="Calibri"/>
                <w:sz w:val="20"/>
              </w:rPr>
              <w:t>Chat-success-with-agents-more.jpg</w:t>
            </w:r>
          </w:p>
        </w:tc>
      </w:tr>
      <w:tr>
        <w:tc>
          <w:tcPr>
            <w:tcW w:type="dxa" w:w="3135"/>
            <w:shd w:val="clear" w:color="auto" w:fill="F2F4F7"/>
          </w:tcPr>
          <w:p>
            <w:r>
              <w:rPr>
                <w:rFonts w:ascii="Calibri" w:hAnsi="Calibri"/>
                <w:sz w:val="20"/>
              </w:rPr>
              <w:t>5</w:t>
            </w:r>
          </w:p>
        </w:tc>
        <w:tc>
          <w:tcPr>
            <w:tcW w:type="dxa" w:w="3135"/>
            <w:shd w:val="clear" w:color="auto" w:fill="F2F4F7"/>
          </w:tcPr>
          <w:p>
            <w:r>
              <w:rPr>
                <w:rFonts w:ascii="Calibri" w:hAnsi="Calibri"/>
                <w:sz w:val="20"/>
              </w:rPr>
              <w:t>YAML policy snippet in Anypoint Code Builder</w:t>
            </w:r>
          </w:p>
        </w:tc>
        <w:tc>
          <w:tcPr>
            <w:tcW w:type="dxa" w:w="3135"/>
            <w:shd w:val="clear" w:color="auto" w:fill="F2F4F7"/>
          </w:tcPr>
          <w:p>
            <w:r>
              <w:rPr>
                <w:rFonts w:ascii="Calibri" w:hAnsi="Calibri"/>
                <w:sz w:val="20"/>
              </w:rPr>
              <w:t>Exercise 4 – Task 2-2.jpg</w:t>
            </w:r>
          </w:p>
        </w:tc>
      </w:tr>
      <w:tr>
        <w:tc>
          <w:tcPr>
            <w:tcW w:type="dxa" w:w="3135"/>
          </w:tcPr>
          <w:p>
            <w:r>
              <w:rPr>
                <w:rFonts w:ascii="Calibri" w:hAnsi="Calibri"/>
                <w:sz w:val="20"/>
              </w:rPr>
              <w:t>6</w:t>
            </w:r>
          </w:p>
        </w:tc>
        <w:tc>
          <w:tcPr>
            <w:tcW w:type="dxa" w:w="3135"/>
          </w:tcPr>
          <w:p>
            <w:r>
              <w:rPr>
                <w:rFonts w:ascii="Calibri" w:hAnsi="Calibri"/>
                <w:sz w:val="20"/>
              </w:rPr>
              <w:t>exchange.json dependency block added</w:t>
            </w:r>
          </w:p>
        </w:tc>
        <w:tc>
          <w:tcPr>
            <w:tcW w:type="dxa" w:w="3135"/>
          </w:tcPr>
          <w:p>
            <w:r>
              <w:rPr>
                <w:rFonts w:ascii="Calibri" w:hAnsi="Calibri"/>
                <w:sz w:val="20"/>
              </w:rPr>
              <w:t>Exercise 4 – Task 2-3.jpg</w:t>
            </w:r>
          </w:p>
        </w:tc>
      </w:tr>
      <w:tr>
        <w:tc>
          <w:tcPr>
            <w:tcW w:type="dxa" w:w="3135"/>
            <w:shd w:val="clear" w:color="auto" w:fill="F2F4F7"/>
          </w:tcPr>
          <w:p>
            <w:r>
              <w:rPr>
                <w:rFonts w:ascii="Calibri" w:hAnsi="Calibri"/>
                <w:sz w:val="20"/>
              </w:rPr>
              <w:t>7</w:t>
            </w:r>
          </w:p>
        </w:tc>
        <w:tc>
          <w:tcPr>
            <w:tcW w:type="dxa" w:w="3135"/>
            <w:shd w:val="clear" w:color="auto" w:fill="F2F4F7"/>
          </w:tcPr>
          <w:p>
            <w:r>
              <w:rPr>
                <w:rFonts w:ascii="Calibri" w:hAnsi="Calibri"/>
                <w:sz w:val="20"/>
              </w:rPr>
              <w:t>API Manager: PII Detector policy active</w:t>
            </w:r>
          </w:p>
        </w:tc>
        <w:tc>
          <w:tcPr>
            <w:tcW w:type="dxa" w:w="3135"/>
            <w:shd w:val="clear" w:color="auto" w:fill="F2F4F7"/>
          </w:tcPr>
          <w:p>
            <w:r>
              <w:rPr>
                <w:rFonts w:ascii="Calibri" w:hAnsi="Calibri"/>
                <w:sz w:val="20"/>
              </w:rPr>
              <w:t>Exercise 4 – Task 2-6.jpg</w:t>
            </w:r>
          </w:p>
        </w:tc>
      </w:tr>
      <w:tr>
        <w:tc>
          <w:tcPr>
            <w:tcW w:type="dxa" w:w="3135"/>
          </w:tcPr>
          <w:p>
            <w:r>
              <w:rPr>
                <w:rFonts w:ascii="Calibri" w:hAnsi="Calibri"/>
                <w:sz w:val="20"/>
              </w:rPr>
              <w:t>8</w:t>
            </w:r>
          </w:p>
        </w:tc>
        <w:tc>
          <w:tcPr>
            <w:tcW w:type="dxa" w:w="3135"/>
          </w:tcPr>
          <w:p>
            <w:r>
              <w:rPr>
                <w:rFonts w:ascii="Calibri" w:hAnsi="Calibri"/>
                <w:sz w:val="20"/>
              </w:rPr>
              <w:t>Policy detail: entity=US SSN, action=Reject</w:t>
            </w:r>
          </w:p>
        </w:tc>
        <w:tc>
          <w:tcPr>
            <w:tcW w:type="dxa" w:w="3135"/>
          </w:tcPr>
          <w:p>
            <w:r>
              <w:rPr>
                <w:rFonts w:ascii="Calibri" w:hAnsi="Calibri"/>
                <w:sz w:val="20"/>
              </w:rPr>
              <w:t>Exercise 4 – Task 2-7.jpg</w:t>
            </w:r>
          </w:p>
        </w:tc>
      </w:tr>
      <w:tr>
        <w:tc>
          <w:tcPr>
            <w:tcW w:type="dxa" w:w="3135"/>
            <w:shd w:val="clear" w:color="auto" w:fill="F2F4F7"/>
          </w:tcPr>
          <w:p>
            <w:r>
              <w:rPr>
                <w:rFonts w:ascii="Calibri" w:hAnsi="Calibri"/>
                <w:sz w:val="20"/>
              </w:rPr>
              <w:t>9</w:t>
            </w:r>
          </w:p>
        </w:tc>
        <w:tc>
          <w:tcPr>
            <w:tcW w:type="dxa" w:w="3135"/>
            <w:shd w:val="clear" w:color="auto" w:fill="F2F4F7"/>
          </w:tcPr>
          <w:p>
            <w:r>
              <w:rPr>
                <w:rFonts w:ascii="Calibri" w:hAnsi="Calibri"/>
                <w:sz w:val="20"/>
              </w:rPr>
              <w:t>Test request containing SSN 000-11-1111</w:t>
            </w:r>
          </w:p>
        </w:tc>
        <w:tc>
          <w:tcPr>
            <w:tcW w:type="dxa" w:w="3135"/>
            <w:shd w:val="clear" w:color="auto" w:fill="F2F4F7"/>
          </w:tcPr>
          <w:p>
            <w:r>
              <w:rPr>
                <w:rFonts w:ascii="Calibri" w:hAnsi="Calibri"/>
                <w:sz w:val="20"/>
              </w:rPr>
              <w:t>Exercise 4 – Task 2-8.jpg</w:t>
            </w:r>
          </w:p>
        </w:tc>
      </w:tr>
      <w:tr>
        <w:tc>
          <w:tcPr>
            <w:tcW w:type="dxa" w:w="3135"/>
          </w:tcPr>
          <w:p>
            <w:r>
              <w:rPr>
                <w:rFonts w:ascii="Calibri" w:hAnsi="Calibri"/>
                <w:sz w:val="20"/>
              </w:rPr>
              <w:t>10</w:t>
            </w:r>
          </w:p>
        </w:tc>
        <w:tc>
          <w:tcPr>
            <w:tcW w:type="dxa" w:w="3135"/>
          </w:tcPr>
          <w:p>
            <w:r>
              <w:rPr>
                <w:rFonts w:ascii="Calibri" w:hAnsi="Calibri"/>
                <w:sz w:val="20"/>
              </w:rPr>
              <w:t>HTTP 401 Unauthorized response</w:t>
            </w:r>
          </w:p>
        </w:tc>
        <w:tc>
          <w:tcPr>
            <w:tcW w:type="dxa" w:w="3135"/>
          </w:tcPr>
          <w:p>
            <w:r>
              <w:rPr>
                <w:rFonts w:ascii="Calibri" w:hAnsi="Calibri"/>
                <w:sz w:val="20"/>
              </w:rPr>
              <w:t>Exercise 4 – Task 2-9.jpg</w:t>
            </w:r>
          </w:p>
        </w:tc>
      </w:tr>
      <w:tr>
        <w:tc>
          <w:tcPr>
            <w:tcW w:type="dxa" w:w="3135"/>
            <w:shd w:val="clear" w:color="auto" w:fill="F2F4F7"/>
          </w:tcPr>
          <w:p>
            <w:r>
              <w:rPr>
                <w:rFonts w:ascii="Calibri" w:hAnsi="Calibri"/>
                <w:sz w:val="20"/>
              </w:rPr>
              <w:t>11</w:t>
            </w:r>
          </w:p>
        </w:tc>
        <w:tc>
          <w:tcPr>
            <w:tcW w:type="dxa" w:w="3135"/>
            <w:shd w:val="clear" w:color="auto" w:fill="F2F4F7"/>
          </w:tcPr>
          <w:p>
            <w:r>
              <w:rPr>
                <w:rFonts w:ascii="Calibri" w:hAnsi="Calibri"/>
                <w:sz w:val="20"/>
              </w:rPr>
              <w:t>API Manager: LLM Proxies → Google Gemini → Policies</w:t>
            </w:r>
          </w:p>
        </w:tc>
        <w:tc>
          <w:tcPr>
            <w:tcW w:type="dxa" w:w="3135"/>
            <w:shd w:val="clear" w:color="auto" w:fill="F2F4F7"/>
          </w:tcPr>
          <w:p>
            <w:r>
              <w:rPr>
                <w:rFonts w:ascii="Calibri" w:hAnsi="Calibri"/>
                <w:sz w:val="20"/>
              </w:rPr>
              <w:t>google-gmi-polices-add-1.jpg</w:t>
            </w:r>
          </w:p>
        </w:tc>
      </w:tr>
      <w:tr>
        <w:tc>
          <w:tcPr>
            <w:tcW w:type="dxa" w:w="3135"/>
          </w:tcPr>
          <w:p>
            <w:r>
              <w:rPr>
                <w:rFonts w:ascii="Calibri" w:hAnsi="Calibri"/>
                <w:sz w:val="20"/>
              </w:rPr>
              <w:t>12</w:t>
            </w:r>
          </w:p>
        </w:tc>
        <w:tc>
          <w:tcPr>
            <w:tcW w:type="dxa" w:w="3135"/>
          </w:tcPr>
          <w:p>
            <w:r>
              <w:rPr>
                <w:rFonts w:ascii="Calibri" w:hAnsi="Calibri"/>
                <w:sz w:val="20"/>
              </w:rPr>
              <w:t>Inbound policies: Tracing + Agent Connection Telemetry</w:t>
            </w:r>
          </w:p>
        </w:tc>
        <w:tc>
          <w:tcPr>
            <w:tcW w:type="dxa" w:w="3135"/>
          </w:tcPr>
          <w:p>
            <w:r>
              <w:rPr>
                <w:rFonts w:ascii="Calibri" w:hAnsi="Calibri"/>
                <w:sz w:val="20"/>
              </w:rPr>
              <w:t>google-gmi-polices-add-3.jpg</w:t>
            </w:r>
          </w:p>
        </w:tc>
      </w:tr>
      <w:tr>
        <w:tc>
          <w:tcPr>
            <w:tcW w:type="dxa" w:w="3135"/>
            <w:shd w:val="clear" w:color="auto" w:fill="F2F4F7"/>
          </w:tcPr>
          <w:p>
            <w:r>
              <w:rPr>
                <w:rFonts w:ascii="Calibri" w:hAnsi="Calibri"/>
                <w:sz w:val="20"/>
              </w:rPr>
              <w:t>13</w:t>
            </w:r>
          </w:p>
        </w:tc>
        <w:tc>
          <w:tcPr>
            <w:tcW w:type="dxa" w:w="3135"/>
            <w:shd w:val="clear" w:color="auto" w:fill="F2F4F7"/>
          </w:tcPr>
          <w:p>
            <w:r>
              <w:rPr>
                <w:rFonts w:ascii="Calibri" w:hAnsi="Calibri"/>
                <w:sz w:val="20"/>
              </w:rPr>
              <w:t>Agent Visualizer: full topology graph</w:t>
            </w:r>
          </w:p>
        </w:tc>
        <w:tc>
          <w:tcPr>
            <w:tcW w:type="dxa" w:w="3135"/>
            <w:shd w:val="clear" w:color="auto" w:fill="F2F4F7"/>
          </w:tcPr>
          <w:p>
            <w:r>
              <w:rPr>
                <w:rFonts w:ascii="Calibri" w:hAnsi="Calibri"/>
                <w:sz w:val="20"/>
              </w:rPr>
              <w:t>Ex5-Student-Task1-1-AgentVisualizer-Initial.jpg</w:t>
            </w:r>
          </w:p>
        </w:tc>
      </w:tr>
      <w:tr>
        <w:tc>
          <w:tcPr>
            <w:tcW w:type="dxa" w:w="3135"/>
          </w:tcPr>
          <w:p>
            <w:r>
              <w:rPr>
                <w:rFonts w:ascii="Calibri" w:hAnsi="Calibri"/>
                <w:sz w:val="20"/>
              </w:rPr>
              <w:t>14</w:t>
            </w:r>
          </w:p>
        </w:tc>
        <w:tc>
          <w:tcPr>
            <w:tcW w:type="dxa" w:w="3135"/>
          </w:tcPr>
          <w:p>
            <w:r>
              <w:rPr>
                <w:rFonts w:ascii="Calibri" w:hAnsi="Calibri"/>
                <w:sz w:val="20"/>
              </w:rPr>
              <w:t>Agent Visualizer: Broker detail panel</w:t>
            </w:r>
          </w:p>
        </w:tc>
        <w:tc>
          <w:tcPr>
            <w:tcW w:type="dxa" w:w="3135"/>
          </w:tcPr>
          <w:p>
            <w:r>
              <w:rPr>
                <w:rFonts w:ascii="Calibri" w:hAnsi="Calibri"/>
                <w:sz w:val="20"/>
              </w:rPr>
              <w:t>Exercise-5-Task-1-2-Agent-Visualizer-Broker-Details.jpg</w:t>
            </w:r>
          </w:p>
        </w:tc>
      </w:tr>
      <w:tr>
        <w:tc>
          <w:tcPr>
            <w:tcW w:type="dxa" w:w="3135"/>
            <w:shd w:val="clear" w:color="auto" w:fill="F2F4F7"/>
          </w:tcPr>
          <w:p>
            <w:r>
              <w:rPr>
                <w:rFonts w:ascii="Calibri" w:hAnsi="Calibri"/>
                <w:sz w:val="20"/>
              </w:rPr>
              <w:t>15</w:t>
            </w:r>
          </w:p>
        </w:tc>
        <w:tc>
          <w:tcPr>
            <w:tcW w:type="dxa" w:w="3135"/>
            <w:shd w:val="clear" w:color="auto" w:fill="F2F4F7"/>
          </w:tcPr>
          <w:p>
            <w:r>
              <w:rPr>
                <w:rFonts w:ascii="Calibri" w:hAnsi="Calibri"/>
                <w:sz w:val="20"/>
              </w:rPr>
              <w:t>Traces Overview: all spans list</w:t>
            </w:r>
          </w:p>
        </w:tc>
        <w:tc>
          <w:tcPr>
            <w:tcW w:type="dxa" w:w="3135"/>
            <w:shd w:val="clear" w:color="auto" w:fill="F2F4F7"/>
          </w:tcPr>
          <w:p>
            <w:r>
              <w:rPr>
                <w:rFonts w:ascii="Calibri" w:hAnsi="Calibri"/>
                <w:sz w:val="20"/>
              </w:rPr>
              <w:t>Exercise-5-Task-2-0-All-Traces-List.jpg</w:t>
            </w:r>
          </w:p>
        </w:tc>
      </w:tr>
      <w:tr>
        <w:tc>
          <w:tcPr>
            <w:tcW w:type="dxa" w:w="3135"/>
          </w:tcPr>
          <w:p>
            <w:r>
              <w:rPr>
                <w:rFonts w:ascii="Calibri" w:hAnsi="Calibri"/>
                <w:sz w:val="20"/>
              </w:rPr>
              <w:t>16</w:t>
            </w:r>
          </w:p>
        </w:tc>
        <w:tc>
          <w:tcPr>
            <w:tcW w:type="dxa" w:w="3135"/>
          </w:tcPr>
          <w:p>
            <w:r>
              <w:rPr>
                <w:rFonts w:ascii="Calibri" w:hAnsi="Calibri"/>
                <w:sz w:val="20"/>
              </w:rPr>
              <w:t>Traces filtered by complaint-resolution-broker</w:t>
            </w:r>
          </w:p>
        </w:tc>
        <w:tc>
          <w:tcPr>
            <w:tcW w:type="dxa" w:w="3135"/>
          </w:tcPr>
          <w:p>
            <w:r>
              <w:rPr>
                <w:rFonts w:ascii="Calibri" w:hAnsi="Calibri"/>
                <w:sz w:val="20"/>
              </w:rPr>
              <w:t>Exercise-5-Task-2-1-Traces-List-Broker-Filtered.jpg</w:t>
            </w:r>
          </w:p>
        </w:tc>
      </w:tr>
      <w:tr>
        <w:tc>
          <w:tcPr>
            <w:tcW w:type="dxa" w:w="3135"/>
            <w:shd w:val="clear" w:color="auto" w:fill="F2F4F7"/>
          </w:tcPr>
          <w:p>
            <w:r>
              <w:rPr>
                <w:rFonts w:ascii="Calibri" w:hAnsi="Calibri"/>
                <w:sz w:val="20"/>
              </w:rPr>
              <w:t>17</w:t>
            </w:r>
          </w:p>
        </w:tc>
        <w:tc>
          <w:tcPr>
            <w:tcW w:type="dxa" w:w="3135"/>
            <w:shd w:val="clear" w:color="auto" w:fill="F2F4F7"/>
          </w:tcPr>
          <w:p>
            <w:r>
              <w:rPr>
                <w:rFonts w:ascii="Calibri" w:hAnsi="Calibri"/>
                <w:sz w:val="20"/>
              </w:rPr>
              <w:t>Trace Detail: 200 OK · 20.81s · 19 spans</w:t>
            </w:r>
          </w:p>
        </w:tc>
        <w:tc>
          <w:tcPr>
            <w:tcW w:type="dxa" w:w="3135"/>
            <w:shd w:val="clear" w:color="auto" w:fill="F2F4F7"/>
          </w:tcPr>
          <w:p>
            <w:r>
              <w:rPr>
                <w:rFonts w:ascii="Calibri" w:hAnsi="Calibri"/>
                <w:sz w:val="20"/>
              </w:rPr>
              <w:t>Exercise-5-Task-2-2-Trace-Success-Full-Flow.jpg</w:t>
            </w:r>
          </w:p>
        </w:tc>
      </w:tr>
      <w:tr>
        <w:tc>
          <w:tcPr>
            <w:tcW w:type="dxa" w:w="3135"/>
          </w:tcPr>
          <w:p>
            <w:r>
              <w:rPr>
                <w:rFonts w:ascii="Calibri" w:hAnsi="Calibri"/>
                <w:sz w:val="20"/>
              </w:rPr>
              <w:t>18</w:t>
            </w:r>
          </w:p>
        </w:tc>
        <w:tc>
          <w:tcPr>
            <w:tcW w:type="dxa" w:w="3135"/>
          </w:tcPr>
          <w:p>
            <w:r>
              <w:rPr>
                <w:rFonts w:ascii="Calibri" w:hAnsi="Calibri"/>
                <w:sz w:val="20"/>
              </w:rPr>
              <w:t>Trace Detail: 401 Unauthorized · 1.01s · 1 span</w:t>
            </w:r>
          </w:p>
        </w:tc>
        <w:tc>
          <w:tcPr>
            <w:tcW w:type="dxa" w:w="3135"/>
          </w:tcPr>
          <w:p>
            <w:r>
              <w:rPr>
                <w:rFonts w:ascii="Calibri" w:hAnsi="Calibri"/>
                <w:sz w:val="20"/>
              </w:rPr>
              <w:t>Exercise-5-Task-2-3-Trace-Error-PII-401.jpg</w:t>
            </w:r>
          </w:p>
        </w:tc>
      </w:tr>
      <w:tr>
        <w:tc>
          <w:tcPr>
            <w:tcW w:type="dxa" w:w="3135"/>
            <w:shd w:val="clear" w:color="auto" w:fill="F2F4F7"/>
          </w:tcPr>
          <w:p>
            <w:r>
              <w:rPr>
                <w:rFonts w:ascii="Calibri" w:hAnsi="Calibri"/>
                <w:sz w:val="20"/>
              </w:rPr>
              <w:t>19</w:t>
            </w:r>
          </w:p>
        </w:tc>
        <w:tc>
          <w:tcPr>
            <w:tcW w:type="dxa" w:w="3135"/>
            <w:shd w:val="clear" w:color="auto" w:fill="F2F4F7"/>
          </w:tcPr>
          <w:p>
            <w:r>
              <w:rPr>
                <w:rFonts w:ascii="Calibri" w:hAnsi="Calibri"/>
                <w:sz w:val="20"/>
              </w:rPr>
              <w:t>Log Search: 102 hits from trace</w:t>
            </w:r>
          </w:p>
        </w:tc>
        <w:tc>
          <w:tcPr>
            <w:tcW w:type="dxa" w:w="3135"/>
            <w:shd w:val="clear" w:color="auto" w:fill="F2F4F7"/>
          </w:tcPr>
          <w:p>
            <w:r>
              <w:rPr>
                <w:rFonts w:ascii="Calibri" w:hAnsi="Calibri"/>
                <w:sz w:val="20"/>
              </w:rPr>
              <w:t>Exercise-5-Task-2-4-Logs-From-Trace.jpg</w:t>
            </w:r>
          </w:p>
        </w:tc>
      </w:tr>
    </w:tbl>
    <w:p/>
    <w:p/>
    <w:p>
      <w:pPr>
        <w:jc w:val="center"/>
      </w:pPr>
      <w:r>
        <w:rPr>
          <w:rFonts w:ascii="Calibri" w:hAnsi="Calibri"/>
          <w:b w:val="0"/>
          <w:i/>
          <w:color w:val="888888"/>
          <w:sz w:val="18"/>
        </w:rPr>
        <w:t>TDX 2026 · Session 1557 · Md Helal · Student13 / Sandbox · April 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