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Default Extension="jpeg" ContentType="image/jpeg"/>
  <Override PartName="/word/header5.xml" ContentType="application/vnd.openxmlformats-officedocument.wordprocessingml.header+xml"/>
  <Default Extension="png" ContentType="image/png"/>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color w:val="1F4D77"/>
        </w:rPr>
        <w:t>India Air Quality Index (AQI) </w:t>
      </w:r>
      <w:r>
        <w:rPr>
          <w:color w:val="1F4D77"/>
          <w:spacing w:val="-2"/>
        </w:rPr>
        <w:t>Analysis</w:t>
      </w:r>
    </w:p>
    <w:p>
      <w:pPr>
        <w:spacing w:before="476"/>
        <w:ind w:left="120" w:right="0" w:firstLine="0"/>
        <w:jc w:val="left"/>
        <w:rPr>
          <w:rFonts w:ascii="Arial"/>
          <w:b/>
          <w:sz w:val="28"/>
        </w:rPr>
      </w:pPr>
      <w:r>
        <w:rPr>
          <w:rFonts w:ascii="Arial"/>
          <w:b/>
          <w:sz w:val="28"/>
        </w:rPr>
        <w:t>Comprehensive Data Analytics </w:t>
      </w:r>
      <w:r>
        <w:rPr>
          <w:rFonts w:ascii="Arial"/>
          <w:b/>
          <w:spacing w:val="-2"/>
          <w:sz w:val="28"/>
        </w:rPr>
        <w:t>Project</w:t>
      </w:r>
    </w:p>
    <w:p>
      <w:pPr>
        <w:pStyle w:val="BodyText"/>
        <w:spacing w:before="263"/>
        <w:rPr>
          <w:rFonts w:ascii="Arial"/>
          <w:b/>
          <w:sz w:val="28"/>
        </w:rPr>
      </w:pPr>
    </w:p>
    <w:p>
      <w:pPr>
        <w:pStyle w:val="BodyText"/>
        <w:ind w:left="120"/>
      </w:pPr>
      <w:r>
        <w:rPr/>
        <w:t>Report Generated: September 18, </w:t>
      </w:r>
      <w:r>
        <w:rPr>
          <w:spacing w:val="-4"/>
        </w:rPr>
        <w:t>2026</w:t>
      </w:r>
    </w:p>
    <w:p>
      <w:pPr>
        <w:pStyle w:val="BodyText"/>
        <w:spacing w:before="210"/>
        <w:ind w:left="120"/>
      </w:pPr>
      <w:r>
        <w:rPr/>
        <w:t>Data Period: 2023-</w:t>
      </w:r>
      <w:r>
        <w:rPr>
          <w:spacing w:val="-4"/>
        </w:rPr>
        <w:t>2025</w:t>
      </w:r>
    </w:p>
    <w:p>
      <w:pPr>
        <w:pStyle w:val="BodyText"/>
        <w:spacing w:before="210"/>
        <w:ind w:left="120"/>
      </w:pPr>
      <w:r>
        <w:rPr/>
        <w:t>Source: Kaggle - India AQI Index </w:t>
      </w:r>
      <w:r>
        <w:rPr>
          <w:spacing w:val="-2"/>
        </w:rPr>
        <w:t>Dataset</w:t>
      </w:r>
    </w:p>
    <w:p>
      <w:pPr>
        <w:pStyle w:val="BodyText"/>
        <w:spacing w:after="0"/>
        <w:sectPr>
          <w:type w:val="continuous"/>
          <w:pgSz w:w="12240" w:h="15840"/>
          <w:pgMar w:top="800" w:bottom="280" w:left="1440" w:right="1440"/>
        </w:sectPr>
      </w:pPr>
    </w:p>
    <w:p>
      <w:pPr>
        <w:pStyle w:val="BodyText"/>
        <w:spacing w:before="43"/>
      </w:pPr>
    </w:p>
    <w:p>
      <w:pPr>
        <w:pStyle w:val="BodyText"/>
        <w:spacing w:line="249" w:lineRule="auto"/>
        <w:ind w:left="120" w:right="116"/>
        <w:jc w:val="both"/>
      </w:pPr>
      <w:r>
        <w:rPr/>
        <w:t>This comprehensive analysis examines air quality data across India for the period 2023-2025. </w:t>
      </w:r>
      <w:r>
        <w:rPr/>
        <w:t>The dataset</w:t>
      </w:r>
      <w:r>
        <w:rPr>
          <w:spacing w:val="-2"/>
        </w:rPr>
        <w:t> </w:t>
      </w:r>
      <w:r>
        <w:rPr/>
        <w:t>contains</w:t>
      </w:r>
      <w:r>
        <w:rPr>
          <w:spacing w:val="-2"/>
        </w:rPr>
        <w:t> </w:t>
      </w:r>
      <w:r>
        <w:rPr/>
        <w:t>235,785</w:t>
      </w:r>
      <w:r>
        <w:rPr>
          <w:spacing w:val="-2"/>
        </w:rPr>
        <w:t> </w:t>
      </w:r>
      <w:r>
        <w:rPr/>
        <w:t>observations</w:t>
      </w:r>
      <w:r>
        <w:rPr>
          <w:spacing w:val="-2"/>
        </w:rPr>
        <w:t> </w:t>
      </w:r>
      <w:r>
        <w:rPr/>
        <w:t>covering</w:t>
      </w:r>
      <w:r>
        <w:rPr>
          <w:spacing w:val="-2"/>
        </w:rPr>
        <w:t> </w:t>
      </w:r>
      <w:r>
        <w:rPr/>
        <w:t>32</w:t>
      </w:r>
      <w:r>
        <w:rPr>
          <w:spacing w:val="-2"/>
        </w:rPr>
        <w:t> </w:t>
      </w:r>
      <w:r>
        <w:rPr/>
        <w:t>states</w:t>
      </w:r>
      <w:r>
        <w:rPr>
          <w:spacing w:val="-2"/>
        </w:rPr>
        <w:t> </w:t>
      </w:r>
      <w:r>
        <w:rPr/>
        <w:t>and</w:t>
      </w:r>
      <w:r>
        <w:rPr>
          <w:spacing w:val="-2"/>
        </w:rPr>
        <w:t> </w:t>
      </w:r>
      <w:r>
        <w:rPr/>
        <w:t>291</w:t>
      </w:r>
      <w:r>
        <w:rPr>
          <w:spacing w:val="-2"/>
        </w:rPr>
        <w:t> </w:t>
      </w:r>
      <w:r>
        <w:rPr/>
        <w:t>distinct</w:t>
      </w:r>
      <w:r>
        <w:rPr>
          <w:spacing w:val="-2"/>
        </w:rPr>
        <w:t> </w:t>
      </w:r>
      <w:r>
        <w:rPr/>
        <w:t>areas,</w:t>
      </w:r>
      <w:r>
        <w:rPr>
          <w:spacing w:val="-2"/>
        </w:rPr>
        <w:t> </w:t>
      </w:r>
      <w:r>
        <w:rPr/>
        <w:t>supported</w:t>
      </w:r>
      <w:r>
        <w:rPr>
          <w:spacing w:val="-2"/>
        </w:rPr>
        <w:t> </w:t>
      </w:r>
      <w:r>
        <w:rPr/>
        <w:t>by</w:t>
      </w:r>
      <w:r>
        <w:rPr>
          <w:spacing w:val="-2"/>
        </w:rPr>
        <w:t> </w:t>
      </w:r>
      <w:r>
        <w:rPr/>
        <w:t>441072 monitoring stations. The analysis reveals significant variations in air quality, identifies geographic hotspots, and provides data-driven recommendations for intervention.</w:t>
      </w:r>
    </w:p>
    <w:p>
      <w:pPr>
        <w:pStyle w:val="BodyText"/>
      </w:pPr>
    </w:p>
    <w:p>
      <w:pPr>
        <w:pStyle w:val="BodyText"/>
      </w:pPr>
    </w:p>
    <w:p>
      <w:pPr>
        <w:pStyle w:val="BodyText"/>
        <w:spacing w:before="43"/>
      </w:pPr>
    </w:p>
    <w:p>
      <w:pPr>
        <w:pStyle w:val="Heading1"/>
        <w:spacing w:before="1"/>
        <w:jc w:val="both"/>
      </w:pPr>
      <w:r>
        <w:rPr>
          <w:color w:val="2D5B89"/>
        </w:rPr>
        <w:t>Key </w:t>
      </w:r>
      <w:r>
        <w:rPr>
          <w:color w:val="2D5B89"/>
          <w:spacing w:val="-2"/>
        </w:rPr>
        <w:t>Metrics</w:t>
      </w:r>
    </w:p>
    <w:p>
      <w:pPr>
        <w:pStyle w:val="BodyText"/>
        <w:spacing w:before="6"/>
        <w:rPr>
          <w:rFonts w:ascii="Arial"/>
          <w:b/>
          <w:sz w:val="15"/>
        </w:rPr>
      </w:pPr>
    </w:p>
    <w:tbl>
      <w:tblPr>
        <w:tblW w:w="0" w:type="auto"/>
        <w:jc w:val="left"/>
        <w:tblInd w:w="10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320"/>
        <w:gridCol w:w="2880"/>
      </w:tblGrid>
      <w:tr>
        <w:trPr>
          <w:trHeight w:val="520" w:hRule="atLeast"/>
        </w:trPr>
        <w:tc>
          <w:tcPr>
            <w:tcW w:w="4320" w:type="dxa"/>
            <w:shd w:val="clear" w:color="auto" w:fill="1F4D77"/>
          </w:tcPr>
          <w:p>
            <w:pPr>
              <w:pStyle w:val="TableParagraph"/>
              <w:spacing w:before="63"/>
              <w:ind w:left="120"/>
              <w:jc w:val="left"/>
              <w:rPr>
                <w:rFonts w:ascii="Arial"/>
                <w:b/>
                <w:sz w:val="22"/>
              </w:rPr>
            </w:pPr>
            <w:r>
              <w:rPr>
                <w:rFonts w:ascii="Arial"/>
                <w:b/>
                <w:color w:val="F4F4F4"/>
                <w:spacing w:val="-2"/>
                <w:sz w:val="22"/>
              </w:rPr>
              <w:t>Metric</w:t>
            </w:r>
          </w:p>
        </w:tc>
        <w:tc>
          <w:tcPr>
            <w:tcW w:w="2880" w:type="dxa"/>
            <w:shd w:val="clear" w:color="auto" w:fill="1F4D77"/>
          </w:tcPr>
          <w:p>
            <w:pPr>
              <w:pStyle w:val="TableParagraph"/>
              <w:spacing w:before="63"/>
              <w:ind w:left="120"/>
              <w:jc w:val="left"/>
              <w:rPr>
                <w:rFonts w:ascii="Arial"/>
                <w:b/>
                <w:sz w:val="22"/>
              </w:rPr>
            </w:pPr>
            <w:r>
              <w:rPr>
                <w:rFonts w:ascii="Arial"/>
                <w:b/>
                <w:color w:val="F4F4F4"/>
                <w:spacing w:val="-2"/>
                <w:sz w:val="22"/>
              </w:rPr>
              <w:t>Value</w:t>
            </w:r>
          </w:p>
        </w:tc>
      </w:tr>
      <w:tr>
        <w:trPr>
          <w:trHeight w:val="340" w:hRule="atLeast"/>
        </w:trPr>
        <w:tc>
          <w:tcPr>
            <w:tcW w:w="4320" w:type="dxa"/>
          </w:tcPr>
          <w:p>
            <w:pPr>
              <w:pStyle w:val="TableParagraph"/>
              <w:spacing w:before="62"/>
              <w:ind w:left="120"/>
              <w:jc w:val="left"/>
              <w:rPr>
                <w:sz w:val="20"/>
              </w:rPr>
            </w:pPr>
            <w:r>
              <w:rPr>
                <w:sz w:val="20"/>
              </w:rPr>
              <w:t>Average </w:t>
            </w:r>
            <w:r>
              <w:rPr>
                <w:spacing w:val="-5"/>
                <w:sz w:val="20"/>
              </w:rPr>
              <w:t>AQI</w:t>
            </w:r>
          </w:p>
        </w:tc>
        <w:tc>
          <w:tcPr>
            <w:tcW w:w="2880" w:type="dxa"/>
          </w:tcPr>
          <w:p>
            <w:pPr>
              <w:pStyle w:val="TableParagraph"/>
              <w:spacing w:before="62"/>
              <w:ind w:left="120"/>
              <w:jc w:val="left"/>
              <w:rPr>
                <w:sz w:val="20"/>
              </w:rPr>
            </w:pPr>
            <w:r>
              <w:rPr>
                <w:spacing w:val="-5"/>
                <w:sz w:val="20"/>
              </w:rPr>
              <w:t>111</w:t>
            </w:r>
          </w:p>
        </w:tc>
      </w:tr>
      <w:tr>
        <w:trPr>
          <w:trHeight w:val="340" w:hRule="atLeast"/>
        </w:trPr>
        <w:tc>
          <w:tcPr>
            <w:tcW w:w="4320" w:type="dxa"/>
            <w:shd w:val="clear" w:color="auto" w:fill="D3D3D3"/>
          </w:tcPr>
          <w:p>
            <w:pPr>
              <w:pStyle w:val="TableParagraph"/>
              <w:spacing w:before="62"/>
              <w:ind w:left="120"/>
              <w:jc w:val="left"/>
              <w:rPr>
                <w:sz w:val="20"/>
              </w:rPr>
            </w:pPr>
            <w:r>
              <w:rPr>
                <w:sz w:val="20"/>
              </w:rPr>
              <w:t>Median </w:t>
            </w:r>
            <w:r>
              <w:rPr>
                <w:spacing w:val="-5"/>
                <w:sz w:val="20"/>
              </w:rPr>
              <w:t>AQI</w:t>
            </w:r>
          </w:p>
        </w:tc>
        <w:tc>
          <w:tcPr>
            <w:tcW w:w="2880" w:type="dxa"/>
            <w:shd w:val="clear" w:color="auto" w:fill="D3D3D3"/>
          </w:tcPr>
          <w:p>
            <w:pPr>
              <w:pStyle w:val="TableParagraph"/>
              <w:spacing w:before="62"/>
              <w:ind w:left="120"/>
              <w:jc w:val="left"/>
              <w:rPr>
                <w:sz w:val="20"/>
              </w:rPr>
            </w:pPr>
            <w:r>
              <w:rPr>
                <w:spacing w:val="-5"/>
                <w:sz w:val="20"/>
              </w:rPr>
              <w:t>92</w:t>
            </w:r>
          </w:p>
        </w:tc>
      </w:tr>
      <w:tr>
        <w:trPr>
          <w:trHeight w:val="340" w:hRule="atLeast"/>
        </w:trPr>
        <w:tc>
          <w:tcPr>
            <w:tcW w:w="4320" w:type="dxa"/>
          </w:tcPr>
          <w:p>
            <w:pPr>
              <w:pStyle w:val="TableParagraph"/>
              <w:spacing w:before="62"/>
              <w:ind w:left="120"/>
              <w:jc w:val="left"/>
              <w:rPr>
                <w:sz w:val="20"/>
              </w:rPr>
            </w:pPr>
            <w:r>
              <w:rPr>
                <w:sz w:val="20"/>
              </w:rPr>
              <w:t>Maximum </w:t>
            </w:r>
            <w:r>
              <w:rPr>
                <w:spacing w:val="-5"/>
                <w:sz w:val="20"/>
              </w:rPr>
              <w:t>AQI</w:t>
            </w:r>
          </w:p>
        </w:tc>
        <w:tc>
          <w:tcPr>
            <w:tcW w:w="2880" w:type="dxa"/>
          </w:tcPr>
          <w:p>
            <w:pPr>
              <w:pStyle w:val="TableParagraph"/>
              <w:spacing w:before="62"/>
              <w:ind w:left="120"/>
              <w:jc w:val="left"/>
              <w:rPr>
                <w:sz w:val="20"/>
              </w:rPr>
            </w:pPr>
            <w:r>
              <w:rPr>
                <w:spacing w:val="-5"/>
                <w:sz w:val="20"/>
              </w:rPr>
              <w:t>500</w:t>
            </w:r>
          </w:p>
        </w:tc>
      </w:tr>
      <w:tr>
        <w:trPr>
          <w:trHeight w:val="340" w:hRule="atLeast"/>
        </w:trPr>
        <w:tc>
          <w:tcPr>
            <w:tcW w:w="4320" w:type="dxa"/>
            <w:shd w:val="clear" w:color="auto" w:fill="D3D3D3"/>
          </w:tcPr>
          <w:p>
            <w:pPr>
              <w:pStyle w:val="TableParagraph"/>
              <w:spacing w:before="62"/>
              <w:ind w:left="120"/>
              <w:jc w:val="left"/>
              <w:rPr>
                <w:sz w:val="20"/>
              </w:rPr>
            </w:pPr>
            <w:r>
              <w:rPr>
                <w:sz w:val="20"/>
              </w:rPr>
              <w:t>Minimum </w:t>
            </w:r>
            <w:r>
              <w:rPr>
                <w:spacing w:val="-5"/>
                <w:sz w:val="20"/>
              </w:rPr>
              <w:t>AQI</w:t>
            </w:r>
          </w:p>
        </w:tc>
        <w:tc>
          <w:tcPr>
            <w:tcW w:w="2880" w:type="dxa"/>
            <w:shd w:val="clear" w:color="auto" w:fill="D3D3D3"/>
          </w:tcPr>
          <w:p>
            <w:pPr>
              <w:pStyle w:val="TableParagraph"/>
              <w:spacing w:before="62"/>
              <w:ind w:left="120"/>
              <w:jc w:val="left"/>
              <w:rPr>
                <w:sz w:val="20"/>
              </w:rPr>
            </w:pPr>
            <w:r>
              <w:rPr>
                <w:spacing w:val="-10"/>
                <w:sz w:val="20"/>
              </w:rPr>
              <w:t>3</w:t>
            </w:r>
          </w:p>
        </w:tc>
      </w:tr>
      <w:tr>
        <w:trPr>
          <w:trHeight w:val="340" w:hRule="atLeast"/>
        </w:trPr>
        <w:tc>
          <w:tcPr>
            <w:tcW w:w="4320" w:type="dxa"/>
          </w:tcPr>
          <w:p>
            <w:pPr>
              <w:pStyle w:val="TableParagraph"/>
              <w:spacing w:before="62"/>
              <w:ind w:left="120"/>
              <w:jc w:val="left"/>
              <w:rPr>
                <w:sz w:val="20"/>
              </w:rPr>
            </w:pPr>
            <w:r>
              <w:rPr>
                <w:sz w:val="20"/>
              </w:rPr>
              <w:t>States </w:t>
            </w:r>
            <w:r>
              <w:rPr>
                <w:spacing w:val="-2"/>
                <w:sz w:val="20"/>
              </w:rPr>
              <w:t>Covered</w:t>
            </w:r>
          </w:p>
        </w:tc>
        <w:tc>
          <w:tcPr>
            <w:tcW w:w="2880" w:type="dxa"/>
          </w:tcPr>
          <w:p>
            <w:pPr>
              <w:pStyle w:val="TableParagraph"/>
              <w:spacing w:before="62"/>
              <w:ind w:left="120"/>
              <w:jc w:val="left"/>
              <w:rPr>
                <w:sz w:val="20"/>
              </w:rPr>
            </w:pPr>
            <w:r>
              <w:rPr>
                <w:spacing w:val="-5"/>
                <w:sz w:val="20"/>
              </w:rPr>
              <w:t>32</w:t>
            </w:r>
          </w:p>
        </w:tc>
      </w:tr>
      <w:tr>
        <w:trPr>
          <w:trHeight w:val="340" w:hRule="atLeast"/>
        </w:trPr>
        <w:tc>
          <w:tcPr>
            <w:tcW w:w="4320" w:type="dxa"/>
            <w:shd w:val="clear" w:color="auto" w:fill="D3D3D3"/>
          </w:tcPr>
          <w:p>
            <w:pPr>
              <w:pStyle w:val="TableParagraph"/>
              <w:spacing w:before="62"/>
              <w:ind w:left="120"/>
              <w:jc w:val="left"/>
              <w:rPr>
                <w:sz w:val="20"/>
              </w:rPr>
            </w:pPr>
            <w:r>
              <w:rPr>
                <w:sz w:val="20"/>
              </w:rPr>
              <w:t>Areas </w:t>
            </w:r>
            <w:r>
              <w:rPr>
                <w:spacing w:val="-2"/>
                <w:sz w:val="20"/>
              </w:rPr>
              <w:t>Covered</w:t>
            </w:r>
          </w:p>
        </w:tc>
        <w:tc>
          <w:tcPr>
            <w:tcW w:w="2880" w:type="dxa"/>
            <w:shd w:val="clear" w:color="auto" w:fill="D3D3D3"/>
          </w:tcPr>
          <w:p>
            <w:pPr>
              <w:pStyle w:val="TableParagraph"/>
              <w:spacing w:before="62"/>
              <w:ind w:left="120"/>
              <w:jc w:val="left"/>
              <w:rPr>
                <w:sz w:val="20"/>
              </w:rPr>
            </w:pPr>
            <w:r>
              <w:rPr>
                <w:spacing w:val="-5"/>
                <w:sz w:val="20"/>
              </w:rPr>
              <w:t>291</w:t>
            </w:r>
          </w:p>
        </w:tc>
      </w:tr>
      <w:tr>
        <w:trPr>
          <w:trHeight w:val="340" w:hRule="atLeast"/>
        </w:trPr>
        <w:tc>
          <w:tcPr>
            <w:tcW w:w="4320" w:type="dxa"/>
          </w:tcPr>
          <w:p>
            <w:pPr>
              <w:pStyle w:val="TableParagraph"/>
              <w:spacing w:before="62"/>
              <w:ind w:left="120"/>
              <w:jc w:val="left"/>
              <w:rPr>
                <w:sz w:val="20"/>
              </w:rPr>
            </w:pPr>
            <w:r>
              <w:rPr>
                <w:sz w:val="20"/>
              </w:rPr>
              <w:t>Total </w:t>
            </w:r>
            <w:r>
              <w:rPr>
                <w:spacing w:val="-2"/>
                <w:sz w:val="20"/>
              </w:rPr>
              <w:t>Observations</w:t>
            </w:r>
          </w:p>
        </w:tc>
        <w:tc>
          <w:tcPr>
            <w:tcW w:w="2880" w:type="dxa"/>
          </w:tcPr>
          <w:p>
            <w:pPr>
              <w:pStyle w:val="TableParagraph"/>
              <w:spacing w:before="62"/>
              <w:ind w:left="120"/>
              <w:jc w:val="left"/>
              <w:rPr>
                <w:sz w:val="20"/>
              </w:rPr>
            </w:pPr>
            <w:r>
              <w:rPr>
                <w:spacing w:val="-2"/>
                <w:sz w:val="20"/>
              </w:rPr>
              <w:t>235,785</w:t>
            </w:r>
          </w:p>
        </w:tc>
      </w:tr>
    </w:tbl>
    <w:p>
      <w:pPr>
        <w:pStyle w:val="TableParagraph"/>
        <w:spacing w:after="0"/>
        <w:jc w:val="left"/>
        <w:rPr>
          <w:sz w:val="20"/>
        </w:rPr>
        <w:sectPr>
          <w:headerReference w:type="default" r:id="rId5"/>
          <w:pgSz w:w="12240" w:h="15840"/>
          <w:pgMar w:header="867" w:footer="0" w:top="1160" w:bottom="280" w:left="1440" w:right="1440"/>
        </w:sectPr>
      </w:pPr>
    </w:p>
    <w:p>
      <w:pPr>
        <w:pStyle w:val="Heading1"/>
        <w:numPr>
          <w:ilvl w:val="0"/>
          <w:numId w:val="1"/>
        </w:numPr>
        <w:tabs>
          <w:tab w:pos="386" w:val="left" w:leader="none"/>
        </w:tabs>
        <w:spacing w:line="240" w:lineRule="auto" w:before="275" w:after="0"/>
        <w:ind w:left="386" w:right="0" w:hanging="266"/>
        <w:jc w:val="left"/>
      </w:pPr>
      <w:r>
        <w:rPr>
          <w:color w:val="2D5B89"/>
        </w:rPr>
        <w:t>Project </w:t>
      </w:r>
      <w:r>
        <w:rPr>
          <w:color w:val="2D5B89"/>
          <w:spacing w:val="-2"/>
        </w:rPr>
        <w:t>Objective</w:t>
      </w:r>
    </w:p>
    <w:p>
      <w:pPr>
        <w:pStyle w:val="BodyText"/>
        <w:spacing w:line="249" w:lineRule="auto" w:before="202"/>
        <w:ind w:left="120" w:right="116"/>
        <w:jc w:val="both"/>
      </w:pPr>
      <w:r>
        <w:rPr/>
        <w:t>This project applies systematic data analytics to understand air quality patterns across India. The workflow progresses from raw data through cleaning, analysis, and modeling to deliver </w:t>
      </w:r>
      <w:r>
        <w:rPr/>
        <w:t>actionable insights for pollution control, public health protection, and policy-making.</w:t>
      </w:r>
    </w:p>
    <w:p>
      <w:pPr>
        <w:pStyle w:val="BodyText"/>
        <w:spacing w:before="15"/>
      </w:pPr>
    </w:p>
    <w:p>
      <w:pPr>
        <w:pStyle w:val="Heading1"/>
        <w:numPr>
          <w:ilvl w:val="0"/>
          <w:numId w:val="1"/>
        </w:numPr>
        <w:tabs>
          <w:tab w:pos="386" w:val="left" w:leader="none"/>
        </w:tabs>
        <w:spacing w:line="240" w:lineRule="auto" w:before="0" w:after="0"/>
        <w:ind w:left="386" w:right="0" w:hanging="266"/>
        <w:jc w:val="left"/>
      </w:pPr>
      <w:r>
        <w:rPr>
          <w:color w:val="2D5B89"/>
        </w:rPr>
        <w:t>Data Cleaning &amp; </w:t>
      </w:r>
      <w:r>
        <w:rPr>
          <w:color w:val="2D5B89"/>
          <w:spacing w:val="-2"/>
        </w:rPr>
        <w:t>Preparation</w:t>
      </w:r>
    </w:p>
    <w:p>
      <w:pPr>
        <w:pStyle w:val="BodyText"/>
        <w:spacing w:line="249" w:lineRule="auto" w:before="201"/>
        <w:ind w:left="120" w:right="116"/>
        <w:jc w:val="both"/>
      </w:pPr>
      <w:r>
        <w:rPr/>
        <w:t>The raw dataset underwent comprehensive cleaning including: (1) Duplicate record removal; (2) </w:t>
      </w:r>
      <w:r>
        <w:rPr/>
        <w:t>Date conversion and validation; (3) Text standardization (whitespace removal, Title Case application); (4) Data type conversion for numeric columns; (5) Removal of invalid AQI values (&lt;0 or &gt;500); (6) Missing value handling (critical columns: row removal; categorical: 'Unknown' replacement); (7) Temporal feature extraction (year, month for analysis). These steps ensured data quality and consistency.</w:t>
      </w:r>
    </w:p>
    <w:p>
      <w:pPr>
        <w:pStyle w:val="BodyText"/>
        <w:spacing w:before="17"/>
      </w:pPr>
    </w:p>
    <w:p>
      <w:pPr>
        <w:pStyle w:val="Heading1"/>
        <w:numPr>
          <w:ilvl w:val="0"/>
          <w:numId w:val="1"/>
        </w:numPr>
        <w:tabs>
          <w:tab w:pos="386" w:val="left" w:leader="none"/>
        </w:tabs>
        <w:spacing w:line="240" w:lineRule="auto" w:before="0" w:after="0"/>
        <w:ind w:left="386" w:right="0" w:hanging="266"/>
        <w:jc w:val="left"/>
      </w:pPr>
      <w:r>
        <w:rPr>
          <w:color w:val="2D5B89"/>
        </w:rPr>
        <w:t>Analysis </w:t>
      </w:r>
      <w:r>
        <w:rPr>
          <w:color w:val="2D5B89"/>
          <w:spacing w:val="-2"/>
        </w:rPr>
        <w:t>Framework</w:t>
      </w:r>
    </w:p>
    <w:p>
      <w:pPr>
        <w:pStyle w:val="BodyText"/>
        <w:spacing w:line="235" w:lineRule="auto" w:before="192"/>
        <w:ind w:left="120" w:right="117"/>
        <w:jc w:val="both"/>
      </w:pPr>
      <w:r>
        <w:rPr/>
        <w:t>Raw Data </w:t>
      </w:r>
      <w:r>
        <w:rPr>
          <w:rFonts w:ascii="Symbol" w:hAnsi="Symbol"/>
        </w:rPr>
        <w:t></w:t>
      </w:r>
      <w:r>
        <w:rPr>
          <w:rFonts w:ascii="Times New Roman" w:hAnsi="Times New Roman"/>
        </w:rPr>
        <w:t> </w:t>
      </w:r>
      <w:r>
        <w:rPr/>
        <w:t>Cleaning </w:t>
      </w:r>
      <w:r>
        <w:rPr>
          <w:rFonts w:ascii="Symbol" w:hAnsi="Symbol"/>
        </w:rPr>
        <w:t></w:t>
      </w:r>
      <w:r>
        <w:rPr>
          <w:rFonts w:ascii="Times New Roman" w:hAnsi="Times New Roman"/>
        </w:rPr>
        <w:t> </w:t>
      </w:r>
      <w:r>
        <w:rPr/>
        <w:t>EDA </w:t>
      </w:r>
      <w:r>
        <w:rPr>
          <w:rFonts w:ascii="Symbol" w:hAnsi="Symbol"/>
        </w:rPr>
        <w:t></w:t>
      </w:r>
      <w:r>
        <w:rPr>
          <w:rFonts w:ascii="Times New Roman" w:hAnsi="Times New Roman"/>
        </w:rPr>
        <w:t> </w:t>
      </w:r>
      <w:r>
        <w:rPr/>
        <w:t>KPI Calculation </w:t>
      </w:r>
      <w:r>
        <w:rPr>
          <w:rFonts w:ascii="Symbol" w:hAnsi="Symbol"/>
        </w:rPr>
        <w:t></w:t>
      </w:r>
      <w:r>
        <w:rPr>
          <w:rFonts w:ascii="Times New Roman" w:hAnsi="Times New Roman"/>
        </w:rPr>
        <w:t> </w:t>
      </w:r>
      <w:r>
        <w:rPr/>
        <w:t>Time Analysis </w:t>
      </w:r>
      <w:r>
        <w:rPr>
          <w:rFonts w:ascii="Symbol" w:hAnsi="Symbol"/>
        </w:rPr>
        <w:t></w:t>
      </w:r>
      <w:r>
        <w:rPr>
          <w:rFonts w:ascii="Times New Roman" w:hAnsi="Times New Roman"/>
        </w:rPr>
        <w:t> </w:t>
      </w:r>
      <w:r>
        <w:rPr/>
        <w:t>State/Area Analysis </w:t>
      </w:r>
      <w:r>
        <w:rPr>
          <w:rFonts w:ascii="Symbol" w:hAnsi="Symbol"/>
        </w:rPr>
        <w:t></w:t>
      </w:r>
      <w:r>
        <w:rPr>
          <w:rFonts w:ascii="Times New Roman" w:hAnsi="Times New Roman"/>
        </w:rPr>
        <w:t> </w:t>
      </w:r>
      <w:r>
        <w:rPr/>
        <w:t>Pollutant Analysis </w:t>
      </w:r>
      <w:r>
        <w:rPr>
          <w:rFonts w:ascii="Symbol" w:hAnsi="Symbol"/>
        </w:rPr>
        <w:t></w:t>
      </w:r>
      <w:r>
        <w:rPr>
          <w:rFonts w:ascii="Times New Roman" w:hAnsi="Times New Roman"/>
        </w:rPr>
        <w:t> </w:t>
      </w:r>
      <w:r>
        <w:rPr/>
        <w:t>Risk Assessment </w:t>
      </w:r>
      <w:r>
        <w:rPr>
          <w:rFonts w:ascii="Symbol" w:hAnsi="Symbol"/>
        </w:rPr>
        <w:t></w:t>
      </w:r>
      <w:r>
        <w:rPr>
          <w:rFonts w:ascii="Times New Roman" w:hAnsi="Times New Roman"/>
        </w:rPr>
        <w:t> </w:t>
      </w:r>
      <w:r>
        <w:rPr/>
        <w:t>Insights </w:t>
      </w:r>
      <w:r>
        <w:rPr>
          <w:rFonts w:ascii="Symbol" w:hAnsi="Symbol"/>
        </w:rPr>
        <w:t></w:t>
      </w:r>
      <w:r>
        <w:rPr>
          <w:rFonts w:ascii="Times New Roman" w:hAnsi="Times New Roman"/>
        </w:rPr>
        <w:t> </w:t>
      </w:r>
      <w:r>
        <w:rPr/>
        <w:t>Recommendations </w:t>
      </w:r>
      <w:r>
        <w:rPr>
          <w:rFonts w:ascii="Symbol" w:hAnsi="Symbol"/>
        </w:rPr>
        <w:t></w:t>
      </w:r>
      <w:r>
        <w:rPr>
          <w:rFonts w:ascii="Times New Roman" w:hAnsi="Times New Roman"/>
        </w:rPr>
        <w:t> </w:t>
      </w:r>
      <w:r>
        <w:rPr/>
        <w:t>Interactive Dashboard</w:t>
      </w:r>
    </w:p>
    <w:p>
      <w:pPr>
        <w:pStyle w:val="BodyText"/>
        <w:spacing w:after="0" w:line="235" w:lineRule="auto"/>
        <w:jc w:val="both"/>
        <w:sectPr>
          <w:headerReference w:type="default" r:id="rId6"/>
          <w:pgSz w:w="12240" w:h="15840"/>
          <w:pgMar w:header="867" w:footer="0" w:top="1160" w:bottom="280" w:left="1440" w:right="1440"/>
        </w:sectPr>
      </w:pPr>
    </w:p>
    <w:p>
      <w:pPr>
        <w:pStyle w:val="Heading1"/>
        <w:spacing w:before="275"/>
      </w:pPr>
      <w:r>
        <w:rPr>
          <w:color w:val="2D5B89"/>
        </w:rPr>
        <w:t>Dataset </w:t>
      </w:r>
      <w:r>
        <w:rPr>
          <w:color w:val="2D5B89"/>
          <w:spacing w:val="-2"/>
        </w:rPr>
        <w:t>Overview</w:t>
      </w:r>
    </w:p>
    <w:p>
      <w:pPr>
        <w:pStyle w:val="BodyText"/>
        <w:spacing w:before="7"/>
        <w:rPr>
          <w:rFonts w:ascii="Arial"/>
          <w:b/>
          <w:sz w:val="15"/>
        </w:rPr>
      </w:pPr>
    </w:p>
    <w:tbl>
      <w:tblPr>
        <w:tblW w:w="0" w:type="auto"/>
        <w:jc w:val="left"/>
        <w:tblInd w:w="10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320"/>
        <w:gridCol w:w="2880"/>
      </w:tblGrid>
      <w:tr>
        <w:trPr>
          <w:trHeight w:val="520" w:hRule="atLeast"/>
        </w:trPr>
        <w:tc>
          <w:tcPr>
            <w:tcW w:w="4320" w:type="dxa"/>
            <w:shd w:val="clear" w:color="auto" w:fill="2D5B89"/>
          </w:tcPr>
          <w:p>
            <w:pPr>
              <w:pStyle w:val="TableParagraph"/>
              <w:spacing w:before="63"/>
              <w:ind w:left="120"/>
              <w:jc w:val="left"/>
              <w:rPr>
                <w:rFonts w:ascii="Arial"/>
                <w:b/>
                <w:sz w:val="22"/>
              </w:rPr>
            </w:pPr>
            <w:r>
              <w:rPr>
                <w:rFonts w:ascii="Arial"/>
                <w:b/>
                <w:color w:val="F4F4F4"/>
                <w:spacing w:val="-2"/>
                <w:sz w:val="22"/>
              </w:rPr>
              <w:t>Characteristic</w:t>
            </w:r>
          </w:p>
        </w:tc>
        <w:tc>
          <w:tcPr>
            <w:tcW w:w="2880" w:type="dxa"/>
            <w:shd w:val="clear" w:color="auto" w:fill="2D5B89"/>
          </w:tcPr>
          <w:p>
            <w:pPr>
              <w:pStyle w:val="TableParagraph"/>
              <w:spacing w:before="63"/>
              <w:ind w:left="120"/>
              <w:jc w:val="left"/>
              <w:rPr>
                <w:rFonts w:ascii="Arial"/>
                <w:b/>
                <w:sz w:val="22"/>
              </w:rPr>
            </w:pPr>
            <w:r>
              <w:rPr>
                <w:rFonts w:ascii="Arial"/>
                <w:b/>
                <w:color w:val="F4F4F4"/>
                <w:spacing w:val="-2"/>
                <w:sz w:val="22"/>
              </w:rPr>
              <w:t>Value</w:t>
            </w:r>
          </w:p>
        </w:tc>
      </w:tr>
      <w:tr>
        <w:trPr>
          <w:trHeight w:val="340" w:hRule="atLeast"/>
        </w:trPr>
        <w:tc>
          <w:tcPr>
            <w:tcW w:w="4320" w:type="dxa"/>
          </w:tcPr>
          <w:p>
            <w:pPr>
              <w:pStyle w:val="TableParagraph"/>
              <w:spacing w:before="62"/>
              <w:ind w:left="120"/>
              <w:jc w:val="left"/>
              <w:rPr>
                <w:sz w:val="20"/>
              </w:rPr>
            </w:pPr>
            <w:r>
              <w:rPr>
                <w:sz w:val="20"/>
              </w:rPr>
              <w:t>Total </w:t>
            </w:r>
            <w:r>
              <w:rPr>
                <w:spacing w:val="-2"/>
                <w:sz w:val="20"/>
              </w:rPr>
              <w:t>Records</w:t>
            </w:r>
          </w:p>
        </w:tc>
        <w:tc>
          <w:tcPr>
            <w:tcW w:w="2880" w:type="dxa"/>
          </w:tcPr>
          <w:p>
            <w:pPr>
              <w:pStyle w:val="TableParagraph"/>
              <w:spacing w:before="62"/>
              <w:ind w:left="120"/>
              <w:jc w:val="left"/>
              <w:rPr>
                <w:sz w:val="20"/>
              </w:rPr>
            </w:pPr>
            <w:r>
              <w:rPr>
                <w:spacing w:val="-2"/>
                <w:sz w:val="20"/>
              </w:rPr>
              <w:t>235,785</w:t>
            </w:r>
          </w:p>
        </w:tc>
      </w:tr>
      <w:tr>
        <w:trPr>
          <w:trHeight w:val="340" w:hRule="atLeast"/>
        </w:trPr>
        <w:tc>
          <w:tcPr>
            <w:tcW w:w="4320" w:type="dxa"/>
            <w:shd w:val="clear" w:color="auto" w:fill="D3D3D3"/>
          </w:tcPr>
          <w:p>
            <w:pPr>
              <w:pStyle w:val="TableParagraph"/>
              <w:spacing w:before="62"/>
              <w:ind w:left="120"/>
              <w:jc w:val="left"/>
              <w:rPr>
                <w:sz w:val="20"/>
              </w:rPr>
            </w:pPr>
            <w:r>
              <w:rPr>
                <w:sz w:val="20"/>
              </w:rPr>
              <w:t>Date </w:t>
            </w:r>
            <w:r>
              <w:rPr>
                <w:spacing w:val="-2"/>
                <w:sz w:val="20"/>
              </w:rPr>
              <w:t>Range</w:t>
            </w:r>
          </w:p>
        </w:tc>
        <w:tc>
          <w:tcPr>
            <w:tcW w:w="2880" w:type="dxa"/>
            <w:shd w:val="clear" w:color="auto" w:fill="D3D3D3"/>
          </w:tcPr>
          <w:p>
            <w:pPr>
              <w:pStyle w:val="TableParagraph"/>
              <w:spacing w:before="62"/>
              <w:ind w:left="120"/>
              <w:jc w:val="left"/>
              <w:rPr>
                <w:sz w:val="20"/>
              </w:rPr>
            </w:pPr>
            <w:r>
              <w:rPr>
                <w:sz w:val="20"/>
              </w:rPr>
              <w:t>2022-04-01 to 2025-04-</w:t>
            </w:r>
            <w:r>
              <w:rPr>
                <w:spacing w:val="-5"/>
                <w:sz w:val="20"/>
              </w:rPr>
              <w:t>30</w:t>
            </w:r>
          </w:p>
        </w:tc>
      </w:tr>
      <w:tr>
        <w:trPr>
          <w:trHeight w:val="340" w:hRule="atLeast"/>
        </w:trPr>
        <w:tc>
          <w:tcPr>
            <w:tcW w:w="4320" w:type="dxa"/>
          </w:tcPr>
          <w:p>
            <w:pPr>
              <w:pStyle w:val="TableParagraph"/>
              <w:spacing w:before="62"/>
              <w:ind w:left="120"/>
              <w:jc w:val="left"/>
              <w:rPr>
                <w:sz w:val="20"/>
              </w:rPr>
            </w:pPr>
            <w:r>
              <w:rPr>
                <w:sz w:val="20"/>
              </w:rPr>
              <w:t>Unique </w:t>
            </w:r>
            <w:r>
              <w:rPr>
                <w:spacing w:val="-2"/>
                <w:sz w:val="20"/>
              </w:rPr>
              <w:t>States</w:t>
            </w:r>
          </w:p>
        </w:tc>
        <w:tc>
          <w:tcPr>
            <w:tcW w:w="2880" w:type="dxa"/>
          </w:tcPr>
          <w:p>
            <w:pPr>
              <w:pStyle w:val="TableParagraph"/>
              <w:spacing w:before="62"/>
              <w:ind w:left="120"/>
              <w:jc w:val="left"/>
              <w:rPr>
                <w:sz w:val="20"/>
              </w:rPr>
            </w:pPr>
            <w:r>
              <w:rPr>
                <w:spacing w:val="-5"/>
                <w:sz w:val="20"/>
              </w:rPr>
              <w:t>32</w:t>
            </w:r>
          </w:p>
        </w:tc>
      </w:tr>
      <w:tr>
        <w:trPr>
          <w:trHeight w:val="340" w:hRule="atLeast"/>
        </w:trPr>
        <w:tc>
          <w:tcPr>
            <w:tcW w:w="4320" w:type="dxa"/>
            <w:shd w:val="clear" w:color="auto" w:fill="D3D3D3"/>
          </w:tcPr>
          <w:p>
            <w:pPr>
              <w:pStyle w:val="TableParagraph"/>
              <w:spacing w:before="62"/>
              <w:ind w:left="120"/>
              <w:jc w:val="left"/>
              <w:rPr>
                <w:sz w:val="20"/>
              </w:rPr>
            </w:pPr>
            <w:r>
              <w:rPr>
                <w:sz w:val="20"/>
              </w:rPr>
              <w:t>Unique </w:t>
            </w:r>
            <w:r>
              <w:rPr>
                <w:spacing w:val="-2"/>
                <w:sz w:val="20"/>
              </w:rPr>
              <w:t>Areas</w:t>
            </w:r>
          </w:p>
        </w:tc>
        <w:tc>
          <w:tcPr>
            <w:tcW w:w="2880" w:type="dxa"/>
            <w:shd w:val="clear" w:color="auto" w:fill="D3D3D3"/>
          </w:tcPr>
          <w:p>
            <w:pPr>
              <w:pStyle w:val="TableParagraph"/>
              <w:spacing w:before="62"/>
              <w:ind w:left="120"/>
              <w:jc w:val="left"/>
              <w:rPr>
                <w:sz w:val="20"/>
              </w:rPr>
            </w:pPr>
            <w:r>
              <w:rPr>
                <w:spacing w:val="-5"/>
                <w:sz w:val="20"/>
              </w:rPr>
              <w:t>291</w:t>
            </w:r>
          </w:p>
        </w:tc>
      </w:tr>
      <w:tr>
        <w:trPr>
          <w:trHeight w:val="340" w:hRule="atLeast"/>
        </w:trPr>
        <w:tc>
          <w:tcPr>
            <w:tcW w:w="4320" w:type="dxa"/>
          </w:tcPr>
          <w:p>
            <w:pPr>
              <w:pStyle w:val="TableParagraph"/>
              <w:spacing w:before="62"/>
              <w:ind w:left="120"/>
              <w:jc w:val="left"/>
              <w:rPr>
                <w:sz w:val="20"/>
              </w:rPr>
            </w:pPr>
            <w:r>
              <w:rPr>
                <w:sz w:val="20"/>
              </w:rPr>
              <w:t>Monitoring </w:t>
            </w:r>
            <w:r>
              <w:rPr>
                <w:spacing w:val="-2"/>
                <w:sz w:val="20"/>
              </w:rPr>
              <w:t>Stations</w:t>
            </w:r>
          </w:p>
        </w:tc>
        <w:tc>
          <w:tcPr>
            <w:tcW w:w="2880" w:type="dxa"/>
          </w:tcPr>
          <w:p>
            <w:pPr>
              <w:pStyle w:val="TableParagraph"/>
              <w:spacing w:before="62"/>
              <w:ind w:left="120"/>
              <w:jc w:val="left"/>
              <w:rPr>
                <w:sz w:val="20"/>
              </w:rPr>
            </w:pPr>
            <w:r>
              <w:rPr>
                <w:spacing w:val="-2"/>
                <w:sz w:val="20"/>
              </w:rPr>
              <w:t>441072</w:t>
            </w:r>
          </w:p>
        </w:tc>
      </w:tr>
      <w:tr>
        <w:trPr>
          <w:trHeight w:val="340" w:hRule="atLeast"/>
        </w:trPr>
        <w:tc>
          <w:tcPr>
            <w:tcW w:w="4320" w:type="dxa"/>
            <w:shd w:val="clear" w:color="auto" w:fill="D3D3D3"/>
          </w:tcPr>
          <w:p>
            <w:pPr>
              <w:pStyle w:val="TableParagraph"/>
              <w:spacing w:before="62"/>
              <w:ind w:left="120"/>
              <w:jc w:val="left"/>
              <w:rPr>
                <w:sz w:val="20"/>
              </w:rPr>
            </w:pPr>
            <w:r>
              <w:rPr>
                <w:sz w:val="20"/>
              </w:rPr>
              <w:t>Data </w:t>
            </w:r>
            <w:r>
              <w:rPr>
                <w:spacing w:val="-2"/>
                <w:sz w:val="20"/>
              </w:rPr>
              <w:t>Completeness</w:t>
            </w:r>
          </w:p>
        </w:tc>
        <w:tc>
          <w:tcPr>
            <w:tcW w:w="2880" w:type="dxa"/>
            <w:shd w:val="clear" w:color="auto" w:fill="D3D3D3"/>
          </w:tcPr>
          <w:p>
            <w:pPr>
              <w:pStyle w:val="TableParagraph"/>
              <w:spacing w:before="62"/>
              <w:ind w:left="120"/>
              <w:jc w:val="left"/>
              <w:rPr>
                <w:sz w:val="20"/>
              </w:rPr>
            </w:pPr>
            <w:r>
              <w:rPr>
                <w:spacing w:val="-2"/>
                <w:sz w:val="20"/>
              </w:rPr>
              <w:t>91.7%</w:t>
            </w:r>
          </w:p>
        </w:tc>
      </w:tr>
    </w:tbl>
    <w:p>
      <w:pPr>
        <w:pStyle w:val="BodyText"/>
        <w:spacing w:before="256"/>
        <w:rPr>
          <w:rFonts w:ascii="Arial"/>
          <w:b/>
          <w:sz w:val="24"/>
        </w:rPr>
      </w:pPr>
    </w:p>
    <w:p>
      <w:pPr>
        <w:pStyle w:val="Heading1"/>
        <w:spacing w:before="1"/>
      </w:pPr>
      <w:r>
        <w:rPr>
          <w:color w:val="2D5B89"/>
        </w:rPr>
        <w:t>AQI Value </w:t>
      </w:r>
      <w:r>
        <w:rPr>
          <w:color w:val="2D5B89"/>
          <w:spacing w:val="-2"/>
        </w:rPr>
        <w:t>Distribution</w:t>
      </w:r>
    </w:p>
    <w:p>
      <w:pPr>
        <w:pStyle w:val="BodyText"/>
        <w:spacing w:before="6"/>
        <w:rPr>
          <w:rFonts w:ascii="Arial"/>
          <w:b/>
          <w:sz w:val="15"/>
        </w:rPr>
      </w:pPr>
    </w:p>
    <w:tbl>
      <w:tblPr>
        <w:tblW w:w="0" w:type="auto"/>
        <w:jc w:val="left"/>
        <w:tblInd w:w="10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320"/>
        <w:gridCol w:w="2880"/>
      </w:tblGrid>
      <w:tr>
        <w:trPr>
          <w:trHeight w:val="520" w:hRule="atLeast"/>
        </w:trPr>
        <w:tc>
          <w:tcPr>
            <w:tcW w:w="4320" w:type="dxa"/>
            <w:shd w:val="clear" w:color="auto" w:fill="2D5B89"/>
          </w:tcPr>
          <w:p>
            <w:pPr>
              <w:pStyle w:val="TableParagraph"/>
              <w:spacing w:before="63"/>
              <w:ind w:left="120"/>
              <w:jc w:val="left"/>
              <w:rPr>
                <w:rFonts w:ascii="Arial"/>
                <w:b/>
                <w:sz w:val="22"/>
              </w:rPr>
            </w:pPr>
            <w:r>
              <w:rPr>
                <w:rFonts w:ascii="Arial"/>
                <w:b/>
                <w:color w:val="F4F4F4"/>
                <w:spacing w:val="-2"/>
                <w:sz w:val="22"/>
              </w:rPr>
              <w:t>Statistic</w:t>
            </w:r>
          </w:p>
        </w:tc>
        <w:tc>
          <w:tcPr>
            <w:tcW w:w="2880" w:type="dxa"/>
            <w:shd w:val="clear" w:color="auto" w:fill="2D5B89"/>
          </w:tcPr>
          <w:p>
            <w:pPr>
              <w:pStyle w:val="TableParagraph"/>
              <w:spacing w:before="63"/>
              <w:ind w:left="120"/>
              <w:jc w:val="left"/>
              <w:rPr>
                <w:rFonts w:ascii="Arial"/>
                <w:b/>
                <w:sz w:val="22"/>
              </w:rPr>
            </w:pPr>
            <w:r>
              <w:rPr>
                <w:rFonts w:ascii="Arial"/>
                <w:b/>
                <w:color w:val="F4F4F4"/>
                <w:spacing w:val="-2"/>
                <w:sz w:val="22"/>
              </w:rPr>
              <w:t>Value</w:t>
            </w:r>
          </w:p>
        </w:tc>
      </w:tr>
      <w:tr>
        <w:trPr>
          <w:trHeight w:val="340" w:hRule="atLeast"/>
        </w:trPr>
        <w:tc>
          <w:tcPr>
            <w:tcW w:w="4320" w:type="dxa"/>
          </w:tcPr>
          <w:p>
            <w:pPr>
              <w:pStyle w:val="TableParagraph"/>
              <w:spacing w:before="62"/>
              <w:ind w:left="120"/>
              <w:jc w:val="left"/>
              <w:rPr>
                <w:sz w:val="20"/>
              </w:rPr>
            </w:pPr>
            <w:r>
              <w:rPr>
                <w:spacing w:val="-4"/>
                <w:sz w:val="20"/>
              </w:rPr>
              <w:t>Mean</w:t>
            </w:r>
          </w:p>
        </w:tc>
        <w:tc>
          <w:tcPr>
            <w:tcW w:w="2880" w:type="dxa"/>
          </w:tcPr>
          <w:p>
            <w:pPr>
              <w:pStyle w:val="TableParagraph"/>
              <w:spacing w:before="62"/>
              <w:ind w:left="120"/>
              <w:jc w:val="left"/>
              <w:rPr>
                <w:sz w:val="20"/>
              </w:rPr>
            </w:pPr>
            <w:r>
              <w:rPr>
                <w:spacing w:val="-2"/>
                <w:sz w:val="20"/>
              </w:rPr>
              <w:t>111.13</w:t>
            </w:r>
          </w:p>
        </w:tc>
      </w:tr>
      <w:tr>
        <w:trPr>
          <w:trHeight w:val="340" w:hRule="atLeast"/>
        </w:trPr>
        <w:tc>
          <w:tcPr>
            <w:tcW w:w="4320" w:type="dxa"/>
            <w:shd w:val="clear" w:color="auto" w:fill="D3D3D3"/>
          </w:tcPr>
          <w:p>
            <w:pPr>
              <w:pStyle w:val="TableParagraph"/>
              <w:spacing w:before="62"/>
              <w:ind w:left="120"/>
              <w:jc w:val="left"/>
              <w:rPr>
                <w:sz w:val="20"/>
              </w:rPr>
            </w:pPr>
            <w:r>
              <w:rPr>
                <w:spacing w:val="-2"/>
                <w:sz w:val="20"/>
              </w:rPr>
              <w:t>Median</w:t>
            </w:r>
          </w:p>
        </w:tc>
        <w:tc>
          <w:tcPr>
            <w:tcW w:w="2880" w:type="dxa"/>
            <w:shd w:val="clear" w:color="auto" w:fill="D3D3D3"/>
          </w:tcPr>
          <w:p>
            <w:pPr>
              <w:pStyle w:val="TableParagraph"/>
              <w:spacing w:before="62"/>
              <w:ind w:left="120"/>
              <w:jc w:val="left"/>
              <w:rPr>
                <w:sz w:val="20"/>
              </w:rPr>
            </w:pPr>
            <w:r>
              <w:rPr>
                <w:spacing w:val="-2"/>
                <w:sz w:val="20"/>
              </w:rPr>
              <w:t>92.00</w:t>
            </w:r>
          </w:p>
        </w:tc>
      </w:tr>
      <w:tr>
        <w:trPr>
          <w:trHeight w:val="340" w:hRule="atLeast"/>
        </w:trPr>
        <w:tc>
          <w:tcPr>
            <w:tcW w:w="4320" w:type="dxa"/>
          </w:tcPr>
          <w:p>
            <w:pPr>
              <w:pStyle w:val="TableParagraph"/>
              <w:spacing w:before="62"/>
              <w:ind w:left="120"/>
              <w:jc w:val="left"/>
              <w:rPr>
                <w:sz w:val="20"/>
              </w:rPr>
            </w:pPr>
            <w:r>
              <w:rPr>
                <w:sz w:val="20"/>
              </w:rPr>
              <w:t>Std </w:t>
            </w:r>
            <w:r>
              <w:rPr>
                <w:spacing w:val="-5"/>
                <w:sz w:val="20"/>
              </w:rPr>
              <w:t>Dev</w:t>
            </w:r>
          </w:p>
        </w:tc>
        <w:tc>
          <w:tcPr>
            <w:tcW w:w="2880" w:type="dxa"/>
          </w:tcPr>
          <w:p>
            <w:pPr>
              <w:pStyle w:val="TableParagraph"/>
              <w:spacing w:before="62"/>
              <w:ind w:left="120"/>
              <w:jc w:val="left"/>
              <w:rPr>
                <w:sz w:val="20"/>
              </w:rPr>
            </w:pPr>
            <w:r>
              <w:rPr>
                <w:spacing w:val="-2"/>
                <w:sz w:val="20"/>
              </w:rPr>
              <w:t>71.45</w:t>
            </w:r>
          </w:p>
        </w:tc>
      </w:tr>
      <w:tr>
        <w:trPr>
          <w:trHeight w:val="340" w:hRule="atLeast"/>
        </w:trPr>
        <w:tc>
          <w:tcPr>
            <w:tcW w:w="4320" w:type="dxa"/>
            <w:shd w:val="clear" w:color="auto" w:fill="D3D3D3"/>
          </w:tcPr>
          <w:p>
            <w:pPr>
              <w:pStyle w:val="TableParagraph"/>
              <w:spacing w:before="62"/>
              <w:ind w:left="120"/>
              <w:jc w:val="left"/>
              <w:rPr>
                <w:sz w:val="20"/>
              </w:rPr>
            </w:pPr>
            <w:r>
              <w:rPr>
                <w:spacing w:val="-5"/>
                <w:sz w:val="20"/>
              </w:rPr>
              <w:t>Min</w:t>
            </w:r>
          </w:p>
        </w:tc>
        <w:tc>
          <w:tcPr>
            <w:tcW w:w="2880" w:type="dxa"/>
            <w:shd w:val="clear" w:color="auto" w:fill="D3D3D3"/>
          </w:tcPr>
          <w:p>
            <w:pPr>
              <w:pStyle w:val="TableParagraph"/>
              <w:spacing w:before="62"/>
              <w:ind w:left="120"/>
              <w:jc w:val="left"/>
              <w:rPr>
                <w:sz w:val="20"/>
              </w:rPr>
            </w:pPr>
            <w:r>
              <w:rPr>
                <w:spacing w:val="-10"/>
                <w:sz w:val="20"/>
              </w:rPr>
              <w:t>3</w:t>
            </w:r>
          </w:p>
        </w:tc>
      </w:tr>
      <w:tr>
        <w:trPr>
          <w:trHeight w:val="340" w:hRule="atLeast"/>
        </w:trPr>
        <w:tc>
          <w:tcPr>
            <w:tcW w:w="4320" w:type="dxa"/>
          </w:tcPr>
          <w:p>
            <w:pPr>
              <w:pStyle w:val="TableParagraph"/>
              <w:spacing w:before="62"/>
              <w:ind w:left="120"/>
              <w:jc w:val="left"/>
              <w:rPr>
                <w:sz w:val="20"/>
              </w:rPr>
            </w:pPr>
            <w:r>
              <w:rPr>
                <w:sz w:val="20"/>
              </w:rPr>
              <w:t>25th </w:t>
            </w:r>
            <w:r>
              <w:rPr>
                <w:spacing w:val="-2"/>
                <w:sz w:val="20"/>
              </w:rPr>
              <w:t>Percentile</w:t>
            </w:r>
          </w:p>
        </w:tc>
        <w:tc>
          <w:tcPr>
            <w:tcW w:w="2880" w:type="dxa"/>
          </w:tcPr>
          <w:p>
            <w:pPr>
              <w:pStyle w:val="TableParagraph"/>
              <w:spacing w:before="62"/>
              <w:ind w:left="120"/>
              <w:jc w:val="left"/>
              <w:rPr>
                <w:sz w:val="20"/>
              </w:rPr>
            </w:pPr>
            <w:r>
              <w:rPr>
                <w:spacing w:val="-5"/>
                <w:sz w:val="20"/>
              </w:rPr>
              <w:t>59</w:t>
            </w:r>
          </w:p>
        </w:tc>
      </w:tr>
      <w:tr>
        <w:trPr>
          <w:trHeight w:val="340" w:hRule="atLeast"/>
        </w:trPr>
        <w:tc>
          <w:tcPr>
            <w:tcW w:w="4320" w:type="dxa"/>
            <w:shd w:val="clear" w:color="auto" w:fill="D3D3D3"/>
          </w:tcPr>
          <w:p>
            <w:pPr>
              <w:pStyle w:val="TableParagraph"/>
              <w:spacing w:before="62"/>
              <w:ind w:left="120"/>
              <w:jc w:val="left"/>
              <w:rPr>
                <w:sz w:val="20"/>
              </w:rPr>
            </w:pPr>
            <w:r>
              <w:rPr>
                <w:sz w:val="20"/>
              </w:rPr>
              <w:t>75th </w:t>
            </w:r>
            <w:r>
              <w:rPr>
                <w:spacing w:val="-2"/>
                <w:sz w:val="20"/>
              </w:rPr>
              <w:t>Percentile</w:t>
            </w:r>
          </w:p>
        </w:tc>
        <w:tc>
          <w:tcPr>
            <w:tcW w:w="2880" w:type="dxa"/>
            <w:shd w:val="clear" w:color="auto" w:fill="D3D3D3"/>
          </w:tcPr>
          <w:p>
            <w:pPr>
              <w:pStyle w:val="TableParagraph"/>
              <w:spacing w:before="62"/>
              <w:ind w:left="120"/>
              <w:jc w:val="left"/>
              <w:rPr>
                <w:sz w:val="20"/>
              </w:rPr>
            </w:pPr>
            <w:r>
              <w:rPr>
                <w:spacing w:val="-5"/>
                <w:sz w:val="20"/>
              </w:rPr>
              <w:t>142</w:t>
            </w:r>
          </w:p>
        </w:tc>
      </w:tr>
      <w:tr>
        <w:trPr>
          <w:trHeight w:val="340" w:hRule="atLeast"/>
        </w:trPr>
        <w:tc>
          <w:tcPr>
            <w:tcW w:w="4320" w:type="dxa"/>
          </w:tcPr>
          <w:p>
            <w:pPr>
              <w:pStyle w:val="TableParagraph"/>
              <w:spacing w:before="62"/>
              <w:ind w:left="120"/>
              <w:jc w:val="left"/>
              <w:rPr>
                <w:sz w:val="20"/>
              </w:rPr>
            </w:pPr>
            <w:r>
              <w:rPr>
                <w:spacing w:val="-5"/>
                <w:sz w:val="20"/>
              </w:rPr>
              <w:t>Max</w:t>
            </w:r>
          </w:p>
        </w:tc>
        <w:tc>
          <w:tcPr>
            <w:tcW w:w="2880" w:type="dxa"/>
          </w:tcPr>
          <w:p>
            <w:pPr>
              <w:pStyle w:val="TableParagraph"/>
              <w:spacing w:before="62"/>
              <w:ind w:left="120"/>
              <w:jc w:val="left"/>
              <w:rPr>
                <w:sz w:val="20"/>
              </w:rPr>
            </w:pPr>
            <w:r>
              <w:rPr>
                <w:spacing w:val="-5"/>
                <w:sz w:val="20"/>
              </w:rPr>
              <w:t>500</w:t>
            </w:r>
          </w:p>
        </w:tc>
      </w:tr>
    </w:tbl>
    <w:p>
      <w:pPr>
        <w:pStyle w:val="TableParagraph"/>
        <w:spacing w:after="0"/>
        <w:jc w:val="left"/>
        <w:rPr>
          <w:sz w:val="20"/>
        </w:rPr>
        <w:sectPr>
          <w:headerReference w:type="default" r:id="rId7"/>
          <w:pgSz w:w="12240" w:h="15840"/>
          <w:pgMar w:header="867" w:footer="0" w:top="1160" w:bottom="280" w:left="1440" w:right="1440"/>
        </w:sectPr>
      </w:pPr>
    </w:p>
    <w:p>
      <w:pPr>
        <w:pStyle w:val="BodyText"/>
        <w:spacing w:before="118" w:after="1"/>
        <w:rPr>
          <w:rFonts w:ascii="Arial"/>
          <w:b/>
        </w:rPr>
      </w:pPr>
    </w:p>
    <w:p>
      <w:pPr>
        <w:spacing w:line="240" w:lineRule="auto"/>
        <w:ind w:left="447" w:right="0" w:firstLine="0"/>
        <w:rPr>
          <w:rFonts w:ascii="Arial"/>
          <w:sz w:val="20"/>
        </w:rPr>
      </w:pPr>
      <w:r>
        <w:rPr>
          <w:rFonts w:ascii="Arial"/>
          <w:sz w:val="20"/>
        </w:rPr>
        <w:drawing>
          <wp:inline distT="0" distB="0" distL="0" distR="0">
            <wp:extent cx="5407221" cy="2624423"/>
            <wp:effectExtent l="0" t="0" r="0" b="0"/>
            <wp:docPr id="5" name="Image 5"/>
            <wp:cNvGraphicFramePr>
              <a:graphicFrameLocks/>
            </wp:cNvGraphicFramePr>
            <a:graphic>
              <a:graphicData uri="http://schemas.openxmlformats.org/drawingml/2006/picture">
                <pic:pic>
                  <pic:nvPicPr>
                    <pic:cNvPr id="5" name="Image 5"/>
                    <pic:cNvPicPr/>
                  </pic:nvPicPr>
                  <pic:blipFill>
                    <a:blip r:embed="rId9" cstate="print"/>
                    <a:stretch>
                      <a:fillRect/>
                    </a:stretch>
                  </pic:blipFill>
                  <pic:spPr>
                    <a:xfrm>
                      <a:off x="0" y="0"/>
                      <a:ext cx="5407221" cy="2624423"/>
                    </a:xfrm>
                    <a:prstGeom prst="rect">
                      <a:avLst/>
                    </a:prstGeom>
                  </pic:spPr>
                </pic:pic>
              </a:graphicData>
            </a:graphic>
          </wp:inline>
        </w:drawing>
      </w:r>
      <w:r>
        <w:rPr>
          <w:rFonts w:ascii="Arial"/>
          <w:sz w:val="20"/>
        </w:rPr>
      </w:r>
    </w:p>
    <w:p>
      <w:pPr>
        <w:pStyle w:val="BodyText"/>
        <w:rPr>
          <w:rFonts w:ascii="Arial"/>
          <w:b/>
          <w:sz w:val="24"/>
        </w:rPr>
      </w:pPr>
    </w:p>
    <w:p>
      <w:pPr>
        <w:pStyle w:val="BodyText"/>
        <w:spacing w:before="89"/>
        <w:rPr>
          <w:rFonts w:ascii="Arial"/>
          <w:b/>
          <w:sz w:val="24"/>
        </w:rPr>
      </w:pPr>
    </w:p>
    <w:p>
      <w:pPr>
        <w:pStyle w:val="Heading1"/>
      </w:pPr>
      <w:r>
        <w:rPr>
          <w:color w:val="2D5B89"/>
        </w:rPr>
        <w:t>Temporal </w:t>
      </w:r>
      <w:r>
        <w:rPr>
          <w:color w:val="2D5B89"/>
          <w:spacing w:val="-2"/>
        </w:rPr>
        <w:t>Patterns</w:t>
      </w:r>
    </w:p>
    <w:p>
      <w:pPr>
        <w:pStyle w:val="Heading2"/>
        <w:spacing w:before="202"/>
        <w:ind w:left="120" w:firstLine="0"/>
      </w:pPr>
      <w:r>
        <w:rPr/>
        <w:t>Yearly </w:t>
      </w:r>
      <w:r>
        <w:rPr>
          <w:spacing w:val="-2"/>
        </w:rPr>
        <w:t>Trends:</w:t>
      </w:r>
    </w:p>
    <w:p>
      <w:pPr>
        <w:pStyle w:val="BodyText"/>
        <w:spacing w:before="10"/>
        <w:rPr>
          <w:rFonts w:ascii="Arial"/>
          <w:b/>
          <w:i/>
          <w:sz w:val="5"/>
        </w:rPr>
      </w:pPr>
    </w:p>
    <w:tbl>
      <w:tblPr>
        <w:tblW w:w="0" w:type="auto"/>
        <w:jc w:val="left"/>
        <w:tblInd w:w="3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40"/>
        <w:gridCol w:w="1728"/>
        <w:gridCol w:w="1728"/>
        <w:gridCol w:w="1728"/>
        <w:gridCol w:w="2016"/>
      </w:tblGrid>
      <w:tr>
        <w:trPr>
          <w:trHeight w:val="520" w:hRule="atLeast"/>
        </w:trPr>
        <w:tc>
          <w:tcPr>
            <w:tcW w:w="1440" w:type="dxa"/>
            <w:shd w:val="clear" w:color="auto" w:fill="2D5B89"/>
          </w:tcPr>
          <w:p>
            <w:pPr>
              <w:pStyle w:val="TableParagraph"/>
              <w:spacing w:before="62"/>
              <w:rPr>
                <w:rFonts w:ascii="Arial"/>
                <w:b/>
                <w:sz w:val="20"/>
              </w:rPr>
            </w:pPr>
            <w:r>
              <w:rPr>
                <w:rFonts w:ascii="Arial"/>
                <w:b/>
                <w:color w:val="F4F4F4"/>
                <w:spacing w:val="-4"/>
                <w:sz w:val="20"/>
              </w:rPr>
              <w:t>Year</w:t>
            </w:r>
          </w:p>
        </w:tc>
        <w:tc>
          <w:tcPr>
            <w:tcW w:w="1728" w:type="dxa"/>
            <w:shd w:val="clear" w:color="auto" w:fill="2D5B89"/>
          </w:tcPr>
          <w:p>
            <w:pPr>
              <w:pStyle w:val="TableParagraph"/>
              <w:spacing w:before="62"/>
              <w:ind w:right="1"/>
              <w:rPr>
                <w:rFonts w:ascii="Arial"/>
                <w:b/>
                <w:sz w:val="20"/>
              </w:rPr>
            </w:pPr>
            <w:r>
              <w:rPr>
                <w:rFonts w:ascii="Arial"/>
                <w:b/>
                <w:color w:val="F4F4F4"/>
                <w:sz w:val="20"/>
              </w:rPr>
              <w:t>Mean </w:t>
            </w:r>
            <w:r>
              <w:rPr>
                <w:rFonts w:ascii="Arial"/>
                <w:b/>
                <w:color w:val="F4F4F4"/>
                <w:spacing w:val="-5"/>
                <w:sz w:val="20"/>
              </w:rPr>
              <w:t>AQI</w:t>
            </w:r>
          </w:p>
        </w:tc>
        <w:tc>
          <w:tcPr>
            <w:tcW w:w="1728" w:type="dxa"/>
            <w:shd w:val="clear" w:color="auto" w:fill="2D5B89"/>
          </w:tcPr>
          <w:p>
            <w:pPr>
              <w:pStyle w:val="TableParagraph"/>
              <w:spacing w:before="62"/>
              <w:ind w:right="1"/>
              <w:rPr>
                <w:rFonts w:ascii="Arial"/>
                <w:b/>
                <w:sz w:val="20"/>
              </w:rPr>
            </w:pPr>
            <w:r>
              <w:rPr>
                <w:rFonts w:ascii="Arial"/>
                <w:b/>
                <w:color w:val="F4F4F4"/>
                <w:sz w:val="20"/>
              </w:rPr>
              <w:t>Max </w:t>
            </w:r>
            <w:r>
              <w:rPr>
                <w:rFonts w:ascii="Arial"/>
                <w:b/>
                <w:color w:val="F4F4F4"/>
                <w:spacing w:val="-5"/>
                <w:sz w:val="20"/>
              </w:rPr>
              <w:t>AQI</w:t>
            </w:r>
          </w:p>
        </w:tc>
        <w:tc>
          <w:tcPr>
            <w:tcW w:w="1728" w:type="dxa"/>
            <w:shd w:val="clear" w:color="auto" w:fill="2D5B89"/>
          </w:tcPr>
          <w:p>
            <w:pPr>
              <w:pStyle w:val="TableParagraph"/>
              <w:spacing w:before="62"/>
              <w:ind w:right="1"/>
              <w:rPr>
                <w:rFonts w:ascii="Arial"/>
                <w:b/>
                <w:sz w:val="20"/>
              </w:rPr>
            </w:pPr>
            <w:r>
              <w:rPr>
                <w:rFonts w:ascii="Arial"/>
                <w:b/>
                <w:color w:val="F4F4F4"/>
                <w:sz w:val="20"/>
              </w:rPr>
              <w:t>Min </w:t>
            </w:r>
            <w:r>
              <w:rPr>
                <w:rFonts w:ascii="Arial"/>
                <w:b/>
                <w:color w:val="F4F4F4"/>
                <w:spacing w:val="-5"/>
                <w:sz w:val="20"/>
              </w:rPr>
              <w:t>AQI</w:t>
            </w:r>
          </w:p>
        </w:tc>
        <w:tc>
          <w:tcPr>
            <w:tcW w:w="2016" w:type="dxa"/>
            <w:shd w:val="clear" w:color="auto" w:fill="2D5B89"/>
          </w:tcPr>
          <w:p>
            <w:pPr>
              <w:pStyle w:val="TableParagraph"/>
              <w:spacing w:before="62"/>
              <w:rPr>
                <w:rFonts w:ascii="Arial"/>
                <w:b/>
                <w:sz w:val="20"/>
              </w:rPr>
            </w:pPr>
            <w:r>
              <w:rPr>
                <w:rFonts w:ascii="Arial"/>
                <w:b/>
                <w:color w:val="F4F4F4"/>
                <w:spacing w:val="-2"/>
                <w:sz w:val="20"/>
              </w:rPr>
              <w:t>Observations</w:t>
            </w:r>
          </w:p>
        </w:tc>
      </w:tr>
      <w:tr>
        <w:trPr>
          <w:trHeight w:val="340" w:hRule="atLeast"/>
        </w:trPr>
        <w:tc>
          <w:tcPr>
            <w:tcW w:w="1440" w:type="dxa"/>
          </w:tcPr>
          <w:p>
            <w:pPr>
              <w:pStyle w:val="TableParagraph"/>
              <w:rPr>
                <w:sz w:val="18"/>
              </w:rPr>
            </w:pPr>
            <w:r>
              <w:rPr>
                <w:spacing w:val="-4"/>
                <w:sz w:val="18"/>
              </w:rPr>
              <w:t>2022</w:t>
            </w:r>
          </w:p>
        </w:tc>
        <w:tc>
          <w:tcPr>
            <w:tcW w:w="1728" w:type="dxa"/>
          </w:tcPr>
          <w:p>
            <w:pPr>
              <w:pStyle w:val="TableParagraph"/>
              <w:rPr>
                <w:sz w:val="18"/>
              </w:rPr>
            </w:pPr>
            <w:r>
              <w:rPr>
                <w:spacing w:val="-2"/>
                <w:sz w:val="18"/>
              </w:rPr>
              <w:t>114.4</w:t>
            </w:r>
          </w:p>
        </w:tc>
        <w:tc>
          <w:tcPr>
            <w:tcW w:w="1728" w:type="dxa"/>
          </w:tcPr>
          <w:p>
            <w:pPr>
              <w:pStyle w:val="TableParagraph"/>
              <w:rPr>
                <w:sz w:val="18"/>
              </w:rPr>
            </w:pPr>
            <w:r>
              <w:rPr>
                <w:spacing w:val="-5"/>
                <w:sz w:val="18"/>
              </w:rPr>
              <w:t>500</w:t>
            </w:r>
          </w:p>
        </w:tc>
        <w:tc>
          <w:tcPr>
            <w:tcW w:w="1728" w:type="dxa"/>
          </w:tcPr>
          <w:p>
            <w:pPr>
              <w:pStyle w:val="TableParagraph"/>
              <w:rPr>
                <w:sz w:val="18"/>
              </w:rPr>
            </w:pPr>
            <w:r>
              <w:rPr>
                <w:spacing w:val="-10"/>
                <w:sz w:val="18"/>
              </w:rPr>
              <w:t>8</w:t>
            </w:r>
          </w:p>
        </w:tc>
        <w:tc>
          <w:tcPr>
            <w:tcW w:w="2016" w:type="dxa"/>
          </w:tcPr>
          <w:p>
            <w:pPr>
              <w:pStyle w:val="TableParagraph"/>
              <w:rPr>
                <w:sz w:val="18"/>
              </w:rPr>
            </w:pPr>
            <w:r>
              <w:rPr>
                <w:spacing w:val="-2"/>
                <w:sz w:val="18"/>
              </w:rPr>
              <w:t>43457</w:t>
            </w:r>
          </w:p>
        </w:tc>
      </w:tr>
      <w:tr>
        <w:trPr>
          <w:trHeight w:val="340" w:hRule="atLeast"/>
        </w:trPr>
        <w:tc>
          <w:tcPr>
            <w:tcW w:w="1440" w:type="dxa"/>
            <w:shd w:val="clear" w:color="auto" w:fill="D3D3D3"/>
          </w:tcPr>
          <w:p>
            <w:pPr>
              <w:pStyle w:val="TableParagraph"/>
              <w:rPr>
                <w:sz w:val="18"/>
              </w:rPr>
            </w:pPr>
            <w:r>
              <w:rPr>
                <w:spacing w:val="-4"/>
                <w:sz w:val="18"/>
              </w:rPr>
              <w:t>2023</w:t>
            </w:r>
          </w:p>
        </w:tc>
        <w:tc>
          <w:tcPr>
            <w:tcW w:w="1728" w:type="dxa"/>
            <w:shd w:val="clear" w:color="auto" w:fill="D3D3D3"/>
          </w:tcPr>
          <w:p>
            <w:pPr>
              <w:pStyle w:val="TableParagraph"/>
              <w:rPr>
                <w:sz w:val="18"/>
              </w:rPr>
            </w:pPr>
            <w:r>
              <w:rPr>
                <w:spacing w:val="-2"/>
                <w:sz w:val="18"/>
              </w:rPr>
              <w:t>115.0</w:t>
            </w:r>
          </w:p>
        </w:tc>
        <w:tc>
          <w:tcPr>
            <w:tcW w:w="1728" w:type="dxa"/>
            <w:shd w:val="clear" w:color="auto" w:fill="D3D3D3"/>
          </w:tcPr>
          <w:p>
            <w:pPr>
              <w:pStyle w:val="TableParagraph"/>
              <w:rPr>
                <w:sz w:val="18"/>
              </w:rPr>
            </w:pPr>
            <w:r>
              <w:rPr>
                <w:spacing w:val="-5"/>
                <w:sz w:val="18"/>
              </w:rPr>
              <w:t>500</w:t>
            </w:r>
          </w:p>
        </w:tc>
        <w:tc>
          <w:tcPr>
            <w:tcW w:w="1728" w:type="dxa"/>
            <w:shd w:val="clear" w:color="auto" w:fill="D3D3D3"/>
          </w:tcPr>
          <w:p>
            <w:pPr>
              <w:pStyle w:val="TableParagraph"/>
              <w:rPr>
                <w:sz w:val="18"/>
              </w:rPr>
            </w:pPr>
            <w:r>
              <w:rPr>
                <w:spacing w:val="-10"/>
                <w:sz w:val="18"/>
              </w:rPr>
              <w:t>3</w:t>
            </w:r>
          </w:p>
        </w:tc>
        <w:tc>
          <w:tcPr>
            <w:tcW w:w="2016" w:type="dxa"/>
            <w:shd w:val="clear" w:color="auto" w:fill="D3D3D3"/>
          </w:tcPr>
          <w:p>
            <w:pPr>
              <w:pStyle w:val="TableParagraph"/>
              <w:rPr>
                <w:sz w:val="18"/>
              </w:rPr>
            </w:pPr>
            <w:r>
              <w:rPr>
                <w:spacing w:val="-2"/>
                <w:sz w:val="18"/>
              </w:rPr>
              <w:t>77253</w:t>
            </w:r>
          </w:p>
        </w:tc>
      </w:tr>
      <w:tr>
        <w:trPr>
          <w:trHeight w:val="340" w:hRule="atLeast"/>
        </w:trPr>
        <w:tc>
          <w:tcPr>
            <w:tcW w:w="1440" w:type="dxa"/>
          </w:tcPr>
          <w:p>
            <w:pPr>
              <w:pStyle w:val="TableParagraph"/>
              <w:rPr>
                <w:sz w:val="18"/>
              </w:rPr>
            </w:pPr>
            <w:r>
              <w:rPr>
                <w:spacing w:val="-4"/>
                <w:sz w:val="18"/>
              </w:rPr>
              <w:t>2024</w:t>
            </w:r>
          </w:p>
        </w:tc>
        <w:tc>
          <w:tcPr>
            <w:tcW w:w="1728" w:type="dxa"/>
          </w:tcPr>
          <w:p>
            <w:pPr>
              <w:pStyle w:val="TableParagraph"/>
              <w:rPr>
                <w:sz w:val="18"/>
              </w:rPr>
            </w:pPr>
            <w:r>
              <w:rPr>
                <w:spacing w:val="-2"/>
                <w:sz w:val="18"/>
              </w:rPr>
              <w:t>105.7</w:t>
            </w:r>
          </w:p>
        </w:tc>
        <w:tc>
          <w:tcPr>
            <w:tcW w:w="1728" w:type="dxa"/>
          </w:tcPr>
          <w:p>
            <w:pPr>
              <w:pStyle w:val="TableParagraph"/>
              <w:rPr>
                <w:sz w:val="18"/>
              </w:rPr>
            </w:pPr>
            <w:r>
              <w:rPr>
                <w:spacing w:val="-5"/>
                <w:sz w:val="18"/>
              </w:rPr>
              <w:t>500</w:t>
            </w:r>
          </w:p>
        </w:tc>
        <w:tc>
          <w:tcPr>
            <w:tcW w:w="1728" w:type="dxa"/>
          </w:tcPr>
          <w:p>
            <w:pPr>
              <w:pStyle w:val="TableParagraph"/>
              <w:rPr>
                <w:sz w:val="18"/>
              </w:rPr>
            </w:pPr>
            <w:r>
              <w:rPr>
                <w:spacing w:val="-10"/>
                <w:sz w:val="18"/>
              </w:rPr>
              <w:t>7</w:t>
            </w:r>
          </w:p>
        </w:tc>
        <w:tc>
          <w:tcPr>
            <w:tcW w:w="2016" w:type="dxa"/>
          </w:tcPr>
          <w:p>
            <w:pPr>
              <w:pStyle w:val="TableParagraph"/>
              <w:rPr>
                <w:sz w:val="18"/>
              </w:rPr>
            </w:pPr>
            <w:r>
              <w:rPr>
                <w:spacing w:val="-2"/>
                <w:sz w:val="18"/>
              </w:rPr>
              <w:t>87746</w:t>
            </w:r>
          </w:p>
        </w:tc>
      </w:tr>
      <w:tr>
        <w:trPr>
          <w:trHeight w:val="340" w:hRule="atLeast"/>
        </w:trPr>
        <w:tc>
          <w:tcPr>
            <w:tcW w:w="1440" w:type="dxa"/>
            <w:shd w:val="clear" w:color="auto" w:fill="D3D3D3"/>
          </w:tcPr>
          <w:p>
            <w:pPr>
              <w:pStyle w:val="TableParagraph"/>
              <w:rPr>
                <w:sz w:val="18"/>
              </w:rPr>
            </w:pPr>
            <w:r>
              <w:rPr>
                <w:spacing w:val="-4"/>
                <w:sz w:val="18"/>
              </w:rPr>
              <w:t>2025</w:t>
            </w:r>
          </w:p>
        </w:tc>
        <w:tc>
          <w:tcPr>
            <w:tcW w:w="1728" w:type="dxa"/>
            <w:shd w:val="clear" w:color="auto" w:fill="D3D3D3"/>
          </w:tcPr>
          <w:p>
            <w:pPr>
              <w:pStyle w:val="TableParagraph"/>
              <w:rPr>
                <w:sz w:val="18"/>
              </w:rPr>
            </w:pPr>
            <w:r>
              <w:rPr>
                <w:spacing w:val="-2"/>
                <w:sz w:val="18"/>
              </w:rPr>
              <w:t>112.4</w:t>
            </w:r>
          </w:p>
        </w:tc>
        <w:tc>
          <w:tcPr>
            <w:tcW w:w="1728" w:type="dxa"/>
            <w:shd w:val="clear" w:color="auto" w:fill="D3D3D3"/>
          </w:tcPr>
          <w:p>
            <w:pPr>
              <w:pStyle w:val="TableParagraph"/>
              <w:rPr>
                <w:sz w:val="18"/>
              </w:rPr>
            </w:pPr>
            <w:r>
              <w:rPr>
                <w:spacing w:val="-5"/>
                <w:sz w:val="18"/>
              </w:rPr>
              <w:t>422</w:t>
            </w:r>
          </w:p>
        </w:tc>
        <w:tc>
          <w:tcPr>
            <w:tcW w:w="1728" w:type="dxa"/>
            <w:shd w:val="clear" w:color="auto" w:fill="D3D3D3"/>
          </w:tcPr>
          <w:p>
            <w:pPr>
              <w:pStyle w:val="TableParagraph"/>
              <w:rPr>
                <w:sz w:val="18"/>
              </w:rPr>
            </w:pPr>
            <w:r>
              <w:rPr>
                <w:spacing w:val="-5"/>
                <w:sz w:val="18"/>
              </w:rPr>
              <w:t>12</w:t>
            </w:r>
          </w:p>
        </w:tc>
        <w:tc>
          <w:tcPr>
            <w:tcW w:w="2016" w:type="dxa"/>
            <w:shd w:val="clear" w:color="auto" w:fill="D3D3D3"/>
          </w:tcPr>
          <w:p>
            <w:pPr>
              <w:pStyle w:val="TableParagraph"/>
              <w:rPr>
                <w:sz w:val="18"/>
              </w:rPr>
            </w:pPr>
            <w:r>
              <w:rPr>
                <w:spacing w:val="-2"/>
                <w:sz w:val="18"/>
              </w:rPr>
              <w:t>27329</w:t>
            </w:r>
          </w:p>
        </w:tc>
      </w:tr>
    </w:tbl>
    <w:p>
      <w:pPr>
        <w:pStyle w:val="TableParagraph"/>
        <w:spacing w:after="0"/>
        <w:rPr>
          <w:sz w:val="18"/>
        </w:rPr>
        <w:sectPr>
          <w:headerReference w:type="default" r:id="rId8"/>
          <w:pgSz w:w="12240" w:h="15840"/>
          <w:pgMar w:header="867" w:footer="0" w:top="1160" w:bottom="280" w:left="1440" w:right="1440"/>
        </w:sectPr>
      </w:pPr>
    </w:p>
    <w:p>
      <w:pPr>
        <w:pStyle w:val="BodyText"/>
        <w:spacing w:before="103" w:after="1"/>
        <w:rPr>
          <w:rFonts w:ascii="Arial"/>
          <w:b/>
          <w:i/>
        </w:rPr>
      </w:pPr>
    </w:p>
    <w:p>
      <w:pPr>
        <w:spacing w:line="240" w:lineRule="auto"/>
        <w:ind w:left="456" w:right="0" w:firstLine="0"/>
        <w:rPr>
          <w:rFonts w:ascii="Arial"/>
          <w:sz w:val="20"/>
        </w:rPr>
      </w:pPr>
      <w:r>
        <w:rPr>
          <w:rFonts w:ascii="Arial"/>
          <w:sz w:val="20"/>
        </w:rPr>
        <w:drawing>
          <wp:inline distT="0" distB="0" distL="0" distR="0">
            <wp:extent cx="5401658" cy="2655665"/>
            <wp:effectExtent l="0" t="0" r="0" b="0"/>
            <wp:docPr id="7" name="Image 7"/>
            <wp:cNvGraphicFramePr>
              <a:graphicFrameLocks/>
            </wp:cNvGraphicFramePr>
            <a:graphic>
              <a:graphicData uri="http://schemas.openxmlformats.org/drawingml/2006/picture">
                <pic:pic>
                  <pic:nvPicPr>
                    <pic:cNvPr id="7" name="Image 7"/>
                    <pic:cNvPicPr/>
                  </pic:nvPicPr>
                  <pic:blipFill>
                    <a:blip r:embed="rId11" cstate="print"/>
                    <a:stretch>
                      <a:fillRect/>
                    </a:stretch>
                  </pic:blipFill>
                  <pic:spPr>
                    <a:xfrm>
                      <a:off x="0" y="0"/>
                      <a:ext cx="5401658" cy="2655665"/>
                    </a:xfrm>
                    <a:prstGeom prst="rect">
                      <a:avLst/>
                    </a:prstGeom>
                  </pic:spPr>
                </pic:pic>
              </a:graphicData>
            </a:graphic>
          </wp:inline>
        </w:drawing>
      </w:r>
      <w:r>
        <w:rPr>
          <w:rFonts w:ascii="Arial"/>
          <w:sz w:val="20"/>
        </w:rPr>
      </w:r>
    </w:p>
    <w:p>
      <w:pPr>
        <w:pStyle w:val="BodyText"/>
        <w:rPr>
          <w:rFonts w:ascii="Arial"/>
          <w:b/>
          <w:i/>
          <w:sz w:val="24"/>
        </w:rPr>
      </w:pPr>
    </w:p>
    <w:p>
      <w:pPr>
        <w:pStyle w:val="BodyText"/>
        <w:spacing w:before="54"/>
        <w:rPr>
          <w:rFonts w:ascii="Arial"/>
          <w:b/>
          <w:i/>
          <w:sz w:val="24"/>
        </w:rPr>
      </w:pPr>
    </w:p>
    <w:p>
      <w:pPr>
        <w:pStyle w:val="Heading1"/>
      </w:pPr>
      <w:r>
        <w:rPr>
          <w:color w:val="2D5B89"/>
        </w:rPr>
        <w:t>Top 10 Most Polluted </w:t>
      </w:r>
      <w:r>
        <w:rPr>
          <w:color w:val="2D5B89"/>
          <w:spacing w:val="-2"/>
        </w:rPr>
        <w:t>States</w:t>
      </w:r>
    </w:p>
    <w:p>
      <w:pPr>
        <w:pStyle w:val="BodyText"/>
        <w:spacing w:before="7"/>
        <w:rPr>
          <w:rFonts w:ascii="Arial"/>
          <w:b/>
          <w:sz w:val="15"/>
        </w:rPr>
      </w:pPr>
    </w:p>
    <w:tbl>
      <w:tblPr>
        <w:tblW w:w="0" w:type="auto"/>
        <w:jc w:val="left"/>
        <w:tblInd w:w="3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20"/>
        <w:gridCol w:w="2880"/>
        <w:gridCol w:w="1728"/>
        <w:gridCol w:w="1728"/>
        <w:gridCol w:w="1584"/>
      </w:tblGrid>
      <w:tr>
        <w:trPr>
          <w:trHeight w:val="520" w:hRule="atLeast"/>
        </w:trPr>
        <w:tc>
          <w:tcPr>
            <w:tcW w:w="720" w:type="dxa"/>
            <w:shd w:val="clear" w:color="auto" w:fill="1F4D77"/>
          </w:tcPr>
          <w:p>
            <w:pPr>
              <w:pStyle w:val="TableParagraph"/>
              <w:spacing w:before="62"/>
              <w:rPr>
                <w:rFonts w:ascii="Arial"/>
                <w:b/>
                <w:sz w:val="20"/>
              </w:rPr>
            </w:pPr>
            <w:r>
              <w:rPr>
                <w:rFonts w:ascii="Arial"/>
                <w:b/>
                <w:color w:val="F4F4F4"/>
                <w:spacing w:val="-4"/>
                <w:sz w:val="20"/>
              </w:rPr>
              <w:t>Rank</w:t>
            </w:r>
          </w:p>
        </w:tc>
        <w:tc>
          <w:tcPr>
            <w:tcW w:w="2880" w:type="dxa"/>
            <w:shd w:val="clear" w:color="auto" w:fill="1F4D77"/>
          </w:tcPr>
          <w:p>
            <w:pPr>
              <w:pStyle w:val="TableParagraph"/>
              <w:spacing w:before="62"/>
              <w:rPr>
                <w:rFonts w:ascii="Arial"/>
                <w:b/>
                <w:sz w:val="20"/>
              </w:rPr>
            </w:pPr>
            <w:r>
              <w:rPr>
                <w:rFonts w:ascii="Arial"/>
                <w:b/>
                <w:color w:val="F4F4F4"/>
                <w:spacing w:val="-2"/>
                <w:sz w:val="20"/>
              </w:rPr>
              <w:t>State</w:t>
            </w:r>
          </w:p>
        </w:tc>
        <w:tc>
          <w:tcPr>
            <w:tcW w:w="1728" w:type="dxa"/>
            <w:shd w:val="clear" w:color="auto" w:fill="1F4D77"/>
          </w:tcPr>
          <w:p>
            <w:pPr>
              <w:pStyle w:val="TableParagraph"/>
              <w:spacing w:before="62"/>
              <w:ind w:right="1"/>
              <w:rPr>
                <w:rFonts w:ascii="Arial"/>
                <w:b/>
                <w:sz w:val="20"/>
              </w:rPr>
            </w:pPr>
            <w:r>
              <w:rPr>
                <w:rFonts w:ascii="Arial"/>
                <w:b/>
                <w:color w:val="F4F4F4"/>
                <w:sz w:val="20"/>
              </w:rPr>
              <w:t>Mean </w:t>
            </w:r>
            <w:r>
              <w:rPr>
                <w:rFonts w:ascii="Arial"/>
                <w:b/>
                <w:color w:val="F4F4F4"/>
                <w:spacing w:val="-5"/>
                <w:sz w:val="20"/>
              </w:rPr>
              <w:t>AQI</w:t>
            </w:r>
          </w:p>
        </w:tc>
        <w:tc>
          <w:tcPr>
            <w:tcW w:w="1728" w:type="dxa"/>
            <w:shd w:val="clear" w:color="auto" w:fill="1F4D77"/>
          </w:tcPr>
          <w:p>
            <w:pPr>
              <w:pStyle w:val="TableParagraph"/>
              <w:spacing w:before="62"/>
              <w:ind w:right="1"/>
              <w:rPr>
                <w:rFonts w:ascii="Arial"/>
                <w:b/>
                <w:sz w:val="20"/>
              </w:rPr>
            </w:pPr>
            <w:r>
              <w:rPr>
                <w:rFonts w:ascii="Arial"/>
                <w:b/>
                <w:color w:val="F4F4F4"/>
                <w:sz w:val="20"/>
              </w:rPr>
              <w:t>Max </w:t>
            </w:r>
            <w:r>
              <w:rPr>
                <w:rFonts w:ascii="Arial"/>
                <w:b/>
                <w:color w:val="F4F4F4"/>
                <w:spacing w:val="-5"/>
                <w:sz w:val="20"/>
              </w:rPr>
              <w:t>AQI</w:t>
            </w:r>
          </w:p>
        </w:tc>
        <w:tc>
          <w:tcPr>
            <w:tcW w:w="1584" w:type="dxa"/>
            <w:shd w:val="clear" w:color="auto" w:fill="1F4D77"/>
          </w:tcPr>
          <w:p>
            <w:pPr>
              <w:pStyle w:val="TableParagraph"/>
              <w:spacing w:before="62"/>
              <w:rPr>
                <w:rFonts w:ascii="Arial"/>
                <w:b/>
                <w:sz w:val="20"/>
              </w:rPr>
            </w:pPr>
            <w:r>
              <w:rPr>
                <w:rFonts w:ascii="Arial"/>
                <w:b/>
                <w:color w:val="F4F4F4"/>
                <w:spacing w:val="-2"/>
                <w:sz w:val="20"/>
              </w:rPr>
              <w:t>Observations</w:t>
            </w:r>
          </w:p>
        </w:tc>
      </w:tr>
      <w:tr>
        <w:trPr>
          <w:trHeight w:val="340" w:hRule="atLeast"/>
        </w:trPr>
        <w:tc>
          <w:tcPr>
            <w:tcW w:w="720" w:type="dxa"/>
          </w:tcPr>
          <w:p>
            <w:pPr>
              <w:pStyle w:val="TableParagraph"/>
              <w:rPr>
                <w:sz w:val="18"/>
              </w:rPr>
            </w:pPr>
            <w:r>
              <w:rPr>
                <w:spacing w:val="-10"/>
                <w:sz w:val="18"/>
              </w:rPr>
              <w:t>1</w:t>
            </w:r>
          </w:p>
        </w:tc>
        <w:tc>
          <w:tcPr>
            <w:tcW w:w="2880" w:type="dxa"/>
          </w:tcPr>
          <w:p>
            <w:pPr>
              <w:pStyle w:val="TableParagraph"/>
              <w:rPr>
                <w:sz w:val="18"/>
              </w:rPr>
            </w:pPr>
            <w:r>
              <w:rPr>
                <w:spacing w:val="-2"/>
                <w:sz w:val="18"/>
              </w:rPr>
              <w:t>Delhi</w:t>
            </w:r>
          </w:p>
        </w:tc>
        <w:tc>
          <w:tcPr>
            <w:tcW w:w="1728" w:type="dxa"/>
          </w:tcPr>
          <w:p>
            <w:pPr>
              <w:pStyle w:val="TableParagraph"/>
              <w:rPr>
                <w:sz w:val="18"/>
              </w:rPr>
            </w:pPr>
            <w:r>
              <w:rPr>
                <w:spacing w:val="-2"/>
                <w:sz w:val="18"/>
              </w:rPr>
              <w:t>206.4</w:t>
            </w:r>
          </w:p>
        </w:tc>
        <w:tc>
          <w:tcPr>
            <w:tcW w:w="1728" w:type="dxa"/>
          </w:tcPr>
          <w:p>
            <w:pPr>
              <w:pStyle w:val="TableParagraph"/>
              <w:rPr>
                <w:sz w:val="18"/>
              </w:rPr>
            </w:pPr>
            <w:r>
              <w:rPr>
                <w:spacing w:val="-5"/>
                <w:sz w:val="18"/>
              </w:rPr>
              <w:t>494</w:t>
            </w:r>
          </w:p>
        </w:tc>
        <w:tc>
          <w:tcPr>
            <w:tcW w:w="1584" w:type="dxa"/>
          </w:tcPr>
          <w:p>
            <w:pPr>
              <w:pStyle w:val="TableParagraph"/>
              <w:rPr>
                <w:sz w:val="18"/>
              </w:rPr>
            </w:pPr>
            <w:r>
              <w:rPr>
                <w:spacing w:val="-4"/>
                <w:sz w:val="18"/>
              </w:rPr>
              <w:t>1125</w:t>
            </w:r>
          </w:p>
        </w:tc>
      </w:tr>
      <w:tr>
        <w:trPr>
          <w:trHeight w:val="340" w:hRule="atLeast"/>
        </w:trPr>
        <w:tc>
          <w:tcPr>
            <w:tcW w:w="720" w:type="dxa"/>
            <w:shd w:val="clear" w:color="auto" w:fill="D3D3D3"/>
          </w:tcPr>
          <w:p>
            <w:pPr>
              <w:pStyle w:val="TableParagraph"/>
              <w:rPr>
                <w:sz w:val="18"/>
              </w:rPr>
            </w:pPr>
            <w:r>
              <w:rPr>
                <w:spacing w:val="-10"/>
                <w:sz w:val="18"/>
              </w:rPr>
              <w:t>2</w:t>
            </w:r>
          </w:p>
        </w:tc>
        <w:tc>
          <w:tcPr>
            <w:tcW w:w="2880" w:type="dxa"/>
            <w:shd w:val="clear" w:color="auto" w:fill="D3D3D3"/>
          </w:tcPr>
          <w:p>
            <w:pPr>
              <w:pStyle w:val="TableParagraph"/>
              <w:rPr>
                <w:sz w:val="18"/>
              </w:rPr>
            </w:pPr>
            <w:r>
              <w:rPr>
                <w:spacing w:val="-2"/>
                <w:sz w:val="18"/>
              </w:rPr>
              <w:t>Jharkhand</w:t>
            </w:r>
          </w:p>
        </w:tc>
        <w:tc>
          <w:tcPr>
            <w:tcW w:w="1728" w:type="dxa"/>
            <w:shd w:val="clear" w:color="auto" w:fill="D3D3D3"/>
          </w:tcPr>
          <w:p>
            <w:pPr>
              <w:pStyle w:val="TableParagraph"/>
              <w:rPr>
                <w:sz w:val="18"/>
              </w:rPr>
            </w:pPr>
            <w:r>
              <w:rPr>
                <w:spacing w:val="-2"/>
                <w:sz w:val="18"/>
              </w:rPr>
              <w:t>164.9</w:t>
            </w:r>
          </w:p>
        </w:tc>
        <w:tc>
          <w:tcPr>
            <w:tcW w:w="1728" w:type="dxa"/>
            <w:shd w:val="clear" w:color="auto" w:fill="D3D3D3"/>
          </w:tcPr>
          <w:p>
            <w:pPr>
              <w:pStyle w:val="TableParagraph"/>
              <w:rPr>
                <w:sz w:val="18"/>
              </w:rPr>
            </w:pPr>
            <w:r>
              <w:rPr>
                <w:spacing w:val="-5"/>
                <w:sz w:val="18"/>
              </w:rPr>
              <w:t>436</w:t>
            </w:r>
          </w:p>
        </w:tc>
        <w:tc>
          <w:tcPr>
            <w:tcW w:w="1584" w:type="dxa"/>
            <w:shd w:val="clear" w:color="auto" w:fill="D3D3D3"/>
          </w:tcPr>
          <w:p>
            <w:pPr>
              <w:pStyle w:val="TableParagraph"/>
              <w:rPr>
                <w:sz w:val="18"/>
              </w:rPr>
            </w:pPr>
            <w:r>
              <w:rPr>
                <w:spacing w:val="-5"/>
                <w:sz w:val="18"/>
              </w:rPr>
              <w:t>721</w:t>
            </w:r>
          </w:p>
        </w:tc>
      </w:tr>
      <w:tr>
        <w:trPr>
          <w:trHeight w:val="340" w:hRule="atLeast"/>
        </w:trPr>
        <w:tc>
          <w:tcPr>
            <w:tcW w:w="720" w:type="dxa"/>
          </w:tcPr>
          <w:p>
            <w:pPr>
              <w:pStyle w:val="TableParagraph"/>
              <w:rPr>
                <w:sz w:val="18"/>
              </w:rPr>
            </w:pPr>
            <w:r>
              <w:rPr>
                <w:spacing w:val="-10"/>
                <w:sz w:val="18"/>
              </w:rPr>
              <w:t>3</w:t>
            </w:r>
          </w:p>
        </w:tc>
        <w:tc>
          <w:tcPr>
            <w:tcW w:w="2880" w:type="dxa"/>
          </w:tcPr>
          <w:p>
            <w:pPr>
              <w:pStyle w:val="TableParagraph"/>
              <w:rPr>
                <w:sz w:val="18"/>
              </w:rPr>
            </w:pPr>
            <w:r>
              <w:rPr>
                <w:sz w:val="18"/>
              </w:rPr>
              <w:t>Himachal </w:t>
            </w:r>
            <w:r>
              <w:rPr>
                <w:spacing w:val="-2"/>
                <w:sz w:val="18"/>
              </w:rPr>
              <w:t>Pradesh</w:t>
            </w:r>
          </w:p>
        </w:tc>
        <w:tc>
          <w:tcPr>
            <w:tcW w:w="1728" w:type="dxa"/>
          </w:tcPr>
          <w:p>
            <w:pPr>
              <w:pStyle w:val="TableParagraph"/>
              <w:rPr>
                <w:sz w:val="18"/>
              </w:rPr>
            </w:pPr>
            <w:r>
              <w:rPr>
                <w:spacing w:val="-2"/>
                <w:sz w:val="18"/>
              </w:rPr>
              <w:t>160.3</w:t>
            </w:r>
          </w:p>
        </w:tc>
        <w:tc>
          <w:tcPr>
            <w:tcW w:w="1728" w:type="dxa"/>
          </w:tcPr>
          <w:p>
            <w:pPr>
              <w:pStyle w:val="TableParagraph"/>
              <w:rPr>
                <w:sz w:val="18"/>
              </w:rPr>
            </w:pPr>
            <w:r>
              <w:rPr>
                <w:spacing w:val="-5"/>
                <w:sz w:val="18"/>
              </w:rPr>
              <w:t>438</w:t>
            </w:r>
          </w:p>
        </w:tc>
        <w:tc>
          <w:tcPr>
            <w:tcW w:w="1584" w:type="dxa"/>
          </w:tcPr>
          <w:p>
            <w:pPr>
              <w:pStyle w:val="TableParagraph"/>
              <w:rPr>
                <w:sz w:val="18"/>
              </w:rPr>
            </w:pPr>
            <w:r>
              <w:rPr>
                <w:spacing w:val="-4"/>
                <w:sz w:val="18"/>
              </w:rPr>
              <w:t>1066</w:t>
            </w:r>
          </w:p>
        </w:tc>
      </w:tr>
      <w:tr>
        <w:trPr>
          <w:trHeight w:val="340" w:hRule="atLeast"/>
        </w:trPr>
        <w:tc>
          <w:tcPr>
            <w:tcW w:w="720" w:type="dxa"/>
            <w:shd w:val="clear" w:color="auto" w:fill="D3D3D3"/>
          </w:tcPr>
          <w:p>
            <w:pPr>
              <w:pStyle w:val="TableParagraph"/>
              <w:rPr>
                <w:sz w:val="18"/>
              </w:rPr>
            </w:pPr>
            <w:r>
              <w:rPr>
                <w:spacing w:val="-10"/>
                <w:sz w:val="18"/>
              </w:rPr>
              <w:t>4</w:t>
            </w:r>
          </w:p>
        </w:tc>
        <w:tc>
          <w:tcPr>
            <w:tcW w:w="2880" w:type="dxa"/>
            <w:shd w:val="clear" w:color="auto" w:fill="D3D3D3"/>
          </w:tcPr>
          <w:p>
            <w:pPr>
              <w:pStyle w:val="TableParagraph"/>
              <w:rPr>
                <w:sz w:val="18"/>
              </w:rPr>
            </w:pPr>
            <w:r>
              <w:rPr>
                <w:spacing w:val="-2"/>
                <w:sz w:val="18"/>
              </w:rPr>
              <w:t>Bihar</w:t>
            </w:r>
          </w:p>
        </w:tc>
        <w:tc>
          <w:tcPr>
            <w:tcW w:w="1728" w:type="dxa"/>
            <w:shd w:val="clear" w:color="auto" w:fill="D3D3D3"/>
          </w:tcPr>
          <w:p>
            <w:pPr>
              <w:pStyle w:val="TableParagraph"/>
              <w:rPr>
                <w:sz w:val="18"/>
              </w:rPr>
            </w:pPr>
            <w:r>
              <w:rPr>
                <w:spacing w:val="-2"/>
                <w:sz w:val="18"/>
              </w:rPr>
              <w:t>157.2</w:t>
            </w:r>
          </w:p>
        </w:tc>
        <w:tc>
          <w:tcPr>
            <w:tcW w:w="1728" w:type="dxa"/>
            <w:shd w:val="clear" w:color="auto" w:fill="D3D3D3"/>
          </w:tcPr>
          <w:p>
            <w:pPr>
              <w:pStyle w:val="TableParagraph"/>
              <w:rPr>
                <w:sz w:val="18"/>
              </w:rPr>
            </w:pPr>
            <w:r>
              <w:rPr>
                <w:spacing w:val="-5"/>
                <w:sz w:val="18"/>
              </w:rPr>
              <w:t>488</w:t>
            </w:r>
          </w:p>
        </w:tc>
        <w:tc>
          <w:tcPr>
            <w:tcW w:w="1584" w:type="dxa"/>
            <w:shd w:val="clear" w:color="auto" w:fill="D3D3D3"/>
          </w:tcPr>
          <w:p>
            <w:pPr>
              <w:pStyle w:val="TableParagraph"/>
              <w:rPr>
                <w:sz w:val="18"/>
              </w:rPr>
            </w:pPr>
            <w:r>
              <w:rPr>
                <w:spacing w:val="-2"/>
                <w:sz w:val="18"/>
              </w:rPr>
              <w:t>21553</w:t>
            </w:r>
          </w:p>
        </w:tc>
      </w:tr>
      <w:tr>
        <w:trPr>
          <w:trHeight w:val="340" w:hRule="atLeast"/>
        </w:trPr>
        <w:tc>
          <w:tcPr>
            <w:tcW w:w="720" w:type="dxa"/>
          </w:tcPr>
          <w:p>
            <w:pPr>
              <w:pStyle w:val="TableParagraph"/>
              <w:rPr>
                <w:sz w:val="18"/>
              </w:rPr>
            </w:pPr>
            <w:r>
              <w:rPr>
                <w:spacing w:val="-10"/>
                <w:sz w:val="18"/>
              </w:rPr>
              <w:t>5</w:t>
            </w:r>
          </w:p>
        </w:tc>
        <w:tc>
          <w:tcPr>
            <w:tcW w:w="2880" w:type="dxa"/>
          </w:tcPr>
          <w:p>
            <w:pPr>
              <w:pStyle w:val="TableParagraph"/>
              <w:rPr>
                <w:sz w:val="18"/>
              </w:rPr>
            </w:pPr>
            <w:r>
              <w:rPr>
                <w:spacing w:val="-2"/>
                <w:sz w:val="18"/>
              </w:rPr>
              <w:t>Chandigarh</w:t>
            </w:r>
          </w:p>
        </w:tc>
        <w:tc>
          <w:tcPr>
            <w:tcW w:w="1728" w:type="dxa"/>
          </w:tcPr>
          <w:p>
            <w:pPr>
              <w:pStyle w:val="TableParagraph"/>
              <w:rPr>
                <w:sz w:val="18"/>
              </w:rPr>
            </w:pPr>
            <w:r>
              <w:rPr>
                <w:spacing w:val="-2"/>
                <w:sz w:val="18"/>
              </w:rPr>
              <w:t>141.6</w:t>
            </w:r>
          </w:p>
        </w:tc>
        <w:tc>
          <w:tcPr>
            <w:tcW w:w="1728" w:type="dxa"/>
          </w:tcPr>
          <w:p>
            <w:pPr>
              <w:pStyle w:val="TableParagraph"/>
              <w:rPr>
                <w:sz w:val="18"/>
              </w:rPr>
            </w:pPr>
            <w:r>
              <w:rPr>
                <w:spacing w:val="-5"/>
                <w:sz w:val="18"/>
              </w:rPr>
              <w:t>412</w:t>
            </w:r>
          </w:p>
        </w:tc>
        <w:tc>
          <w:tcPr>
            <w:tcW w:w="1584" w:type="dxa"/>
          </w:tcPr>
          <w:p>
            <w:pPr>
              <w:pStyle w:val="TableParagraph"/>
              <w:rPr>
                <w:sz w:val="18"/>
              </w:rPr>
            </w:pPr>
            <w:r>
              <w:rPr>
                <w:spacing w:val="-4"/>
                <w:sz w:val="18"/>
              </w:rPr>
              <w:t>1125</w:t>
            </w:r>
          </w:p>
        </w:tc>
      </w:tr>
      <w:tr>
        <w:trPr>
          <w:trHeight w:val="340" w:hRule="atLeast"/>
        </w:trPr>
        <w:tc>
          <w:tcPr>
            <w:tcW w:w="720" w:type="dxa"/>
            <w:shd w:val="clear" w:color="auto" w:fill="D3D3D3"/>
          </w:tcPr>
          <w:p>
            <w:pPr>
              <w:pStyle w:val="TableParagraph"/>
              <w:rPr>
                <w:sz w:val="18"/>
              </w:rPr>
            </w:pPr>
            <w:r>
              <w:rPr>
                <w:spacing w:val="-10"/>
                <w:sz w:val="18"/>
              </w:rPr>
              <w:t>6</w:t>
            </w:r>
          </w:p>
        </w:tc>
        <w:tc>
          <w:tcPr>
            <w:tcW w:w="2880" w:type="dxa"/>
            <w:shd w:val="clear" w:color="auto" w:fill="D3D3D3"/>
          </w:tcPr>
          <w:p>
            <w:pPr>
              <w:pStyle w:val="TableParagraph"/>
              <w:rPr>
                <w:sz w:val="18"/>
              </w:rPr>
            </w:pPr>
            <w:r>
              <w:rPr>
                <w:spacing w:val="-2"/>
                <w:sz w:val="18"/>
              </w:rPr>
              <w:t>Haryana</w:t>
            </w:r>
          </w:p>
        </w:tc>
        <w:tc>
          <w:tcPr>
            <w:tcW w:w="1728" w:type="dxa"/>
            <w:shd w:val="clear" w:color="auto" w:fill="D3D3D3"/>
          </w:tcPr>
          <w:p>
            <w:pPr>
              <w:pStyle w:val="TableParagraph"/>
              <w:rPr>
                <w:sz w:val="18"/>
              </w:rPr>
            </w:pPr>
            <w:r>
              <w:rPr>
                <w:spacing w:val="-2"/>
                <w:sz w:val="18"/>
              </w:rPr>
              <w:t>140.8</w:t>
            </w:r>
          </w:p>
        </w:tc>
        <w:tc>
          <w:tcPr>
            <w:tcW w:w="1728" w:type="dxa"/>
            <w:shd w:val="clear" w:color="auto" w:fill="D3D3D3"/>
          </w:tcPr>
          <w:p>
            <w:pPr>
              <w:pStyle w:val="TableParagraph"/>
              <w:rPr>
                <w:sz w:val="18"/>
              </w:rPr>
            </w:pPr>
            <w:r>
              <w:rPr>
                <w:spacing w:val="-5"/>
                <w:sz w:val="18"/>
              </w:rPr>
              <w:t>469</w:t>
            </w:r>
          </w:p>
        </w:tc>
        <w:tc>
          <w:tcPr>
            <w:tcW w:w="1584" w:type="dxa"/>
            <w:shd w:val="clear" w:color="auto" w:fill="D3D3D3"/>
          </w:tcPr>
          <w:p>
            <w:pPr>
              <w:pStyle w:val="TableParagraph"/>
              <w:rPr>
                <w:sz w:val="18"/>
              </w:rPr>
            </w:pPr>
            <w:r>
              <w:rPr>
                <w:spacing w:val="-2"/>
                <w:sz w:val="18"/>
              </w:rPr>
              <w:t>21706</w:t>
            </w:r>
          </w:p>
        </w:tc>
      </w:tr>
      <w:tr>
        <w:trPr>
          <w:trHeight w:val="340" w:hRule="atLeast"/>
        </w:trPr>
        <w:tc>
          <w:tcPr>
            <w:tcW w:w="720" w:type="dxa"/>
          </w:tcPr>
          <w:p>
            <w:pPr>
              <w:pStyle w:val="TableParagraph"/>
              <w:rPr>
                <w:sz w:val="18"/>
              </w:rPr>
            </w:pPr>
            <w:r>
              <w:rPr>
                <w:spacing w:val="-10"/>
                <w:sz w:val="18"/>
              </w:rPr>
              <w:t>7</w:t>
            </w:r>
          </w:p>
        </w:tc>
        <w:tc>
          <w:tcPr>
            <w:tcW w:w="2880" w:type="dxa"/>
          </w:tcPr>
          <w:p>
            <w:pPr>
              <w:pStyle w:val="TableParagraph"/>
              <w:rPr>
                <w:sz w:val="18"/>
              </w:rPr>
            </w:pPr>
            <w:r>
              <w:rPr>
                <w:spacing w:val="-2"/>
                <w:sz w:val="18"/>
              </w:rPr>
              <w:t>Rajasthan</w:t>
            </w:r>
          </w:p>
        </w:tc>
        <w:tc>
          <w:tcPr>
            <w:tcW w:w="1728" w:type="dxa"/>
          </w:tcPr>
          <w:p>
            <w:pPr>
              <w:pStyle w:val="TableParagraph"/>
              <w:rPr>
                <w:sz w:val="18"/>
              </w:rPr>
            </w:pPr>
            <w:r>
              <w:rPr>
                <w:spacing w:val="-2"/>
                <w:sz w:val="18"/>
              </w:rPr>
              <w:t>128.0</w:t>
            </w:r>
          </w:p>
        </w:tc>
        <w:tc>
          <w:tcPr>
            <w:tcW w:w="1728" w:type="dxa"/>
          </w:tcPr>
          <w:p>
            <w:pPr>
              <w:pStyle w:val="TableParagraph"/>
              <w:rPr>
                <w:sz w:val="18"/>
              </w:rPr>
            </w:pPr>
            <w:r>
              <w:rPr>
                <w:spacing w:val="-5"/>
                <w:sz w:val="18"/>
              </w:rPr>
              <w:t>452</w:t>
            </w:r>
          </w:p>
        </w:tc>
        <w:tc>
          <w:tcPr>
            <w:tcW w:w="1584" w:type="dxa"/>
          </w:tcPr>
          <w:p>
            <w:pPr>
              <w:pStyle w:val="TableParagraph"/>
              <w:rPr>
                <w:sz w:val="18"/>
              </w:rPr>
            </w:pPr>
            <w:r>
              <w:rPr>
                <w:spacing w:val="-2"/>
                <w:sz w:val="18"/>
              </w:rPr>
              <w:t>26585</w:t>
            </w:r>
          </w:p>
        </w:tc>
      </w:tr>
      <w:tr>
        <w:trPr>
          <w:trHeight w:val="340" w:hRule="atLeast"/>
        </w:trPr>
        <w:tc>
          <w:tcPr>
            <w:tcW w:w="720" w:type="dxa"/>
            <w:shd w:val="clear" w:color="auto" w:fill="D3D3D3"/>
          </w:tcPr>
          <w:p>
            <w:pPr>
              <w:pStyle w:val="TableParagraph"/>
              <w:rPr>
                <w:sz w:val="18"/>
              </w:rPr>
            </w:pPr>
            <w:r>
              <w:rPr>
                <w:spacing w:val="-10"/>
                <w:sz w:val="18"/>
              </w:rPr>
              <w:t>8</w:t>
            </w:r>
          </w:p>
        </w:tc>
        <w:tc>
          <w:tcPr>
            <w:tcW w:w="2880" w:type="dxa"/>
            <w:shd w:val="clear" w:color="auto" w:fill="D3D3D3"/>
          </w:tcPr>
          <w:p>
            <w:pPr>
              <w:pStyle w:val="TableParagraph"/>
              <w:rPr>
                <w:sz w:val="18"/>
              </w:rPr>
            </w:pPr>
            <w:r>
              <w:rPr>
                <w:spacing w:val="-2"/>
                <w:sz w:val="18"/>
              </w:rPr>
              <w:t>Tripura</w:t>
            </w:r>
          </w:p>
        </w:tc>
        <w:tc>
          <w:tcPr>
            <w:tcW w:w="1728" w:type="dxa"/>
            <w:shd w:val="clear" w:color="auto" w:fill="D3D3D3"/>
          </w:tcPr>
          <w:p>
            <w:pPr>
              <w:pStyle w:val="TableParagraph"/>
              <w:rPr>
                <w:sz w:val="18"/>
              </w:rPr>
            </w:pPr>
            <w:r>
              <w:rPr>
                <w:spacing w:val="-2"/>
                <w:sz w:val="18"/>
              </w:rPr>
              <w:t>126.7</w:t>
            </w:r>
          </w:p>
        </w:tc>
        <w:tc>
          <w:tcPr>
            <w:tcW w:w="1728" w:type="dxa"/>
            <w:shd w:val="clear" w:color="auto" w:fill="D3D3D3"/>
          </w:tcPr>
          <w:p>
            <w:pPr>
              <w:pStyle w:val="TableParagraph"/>
              <w:rPr>
                <w:sz w:val="18"/>
              </w:rPr>
            </w:pPr>
            <w:r>
              <w:rPr>
                <w:spacing w:val="-5"/>
                <w:sz w:val="18"/>
              </w:rPr>
              <w:t>362</w:t>
            </w:r>
          </w:p>
        </w:tc>
        <w:tc>
          <w:tcPr>
            <w:tcW w:w="1584" w:type="dxa"/>
            <w:shd w:val="clear" w:color="auto" w:fill="D3D3D3"/>
          </w:tcPr>
          <w:p>
            <w:pPr>
              <w:pStyle w:val="TableParagraph"/>
              <w:rPr>
                <w:sz w:val="18"/>
              </w:rPr>
            </w:pPr>
            <w:r>
              <w:rPr>
                <w:spacing w:val="-4"/>
                <w:sz w:val="18"/>
              </w:rPr>
              <w:t>1035</w:t>
            </w:r>
          </w:p>
        </w:tc>
      </w:tr>
      <w:tr>
        <w:trPr>
          <w:trHeight w:val="340" w:hRule="atLeast"/>
        </w:trPr>
        <w:tc>
          <w:tcPr>
            <w:tcW w:w="720" w:type="dxa"/>
          </w:tcPr>
          <w:p>
            <w:pPr>
              <w:pStyle w:val="TableParagraph"/>
              <w:rPr>
                <w:sz w:val="18"/>
              </w:rPr>
            </w:pPr>
            <w:r>
              <w:rPr>
                <w:spacing w:val="-10"/>
                <w:sz w:val="18"/>
              </w:rPr>
              <w:t>9</w:t>
            </w:r>
          </w:p>
        </w:tc>
        <w:tc>
          <w:tcPr>
            <w:tcW w:w="2880" w:type="dxa"/>
          </w:tcPr>
          <w:p>
            <w:pPr>
              <w:pStyle w:val="TableParagraph"/>
              <w:rPr>
                <w:sz w:val="18"/>
              </w:rPr>
            </w:pPr>
            <w:r>
              <w:rPr>
                <w:sz w:val="18"/>
              </w:rPr>
              <w:t>Uttar </w:t>
            </w:r>
            <w:r>
              <w:rPr>
                <w:spacing w:val="-2"/>
                <w:sz w:val="18"/>
              </w:rPr>
              <w:t>Pradesh</w:t>
            </w:r>
          </w:p>
        </w:tc>
        <w:tc>
          <w:tcPr>
            <w:tcW w:w="1728" w:type="dxa"/>
          </w:tcPr>
          <w:p>
            <w:pPr>
              <w:pStyle w:val="TableParagraph"/>
              <w:rPr>
                <w:sz w:val="18"/>
              </w:rPr>
            </w:pPr>
            <w:r>
              <w:rPr>
                <w:spacing w:val="-2"/>
                <w:sz w:val="18"/>
              </w:rPr>
              <w:t>126.4</w:t>
            </w:r>
          </w:p>
        </w:tc>
        <w:tc>
          <w:tcPr>
            <w:tcW w:w="1728" w:type="dxa"/>
          </w:tcPr>
          <w:p>
            <w:pPr>
              <w:pStyle w:val="TableParagraph"/>
              <w:rPr>
                <w:sz w:val="18"/>
              </w:rPr>
            </w:pPr>
            <w:r>
              <w:rPr>
                <w:spacing w:val="-5"/>
                <w:sz w:val="18"/>
              </w:rPr>
              <w:t>494</w:t>
            </w:r>
          </w:p>
        </w:tc>
        <w:tc>
          <w:tcPr>
            <w:tcW w:w="1584" w:type="dxa"/>
          </w:tcPr>
          <w:p>
            <w:pPr>
              <w:pStyle w:val="TableParagraph"/>
              <w:rPr>
                <w:sz w:val="18"/>
              </w:rPr>
            </w:pPr>
            <w:r>
              <w:rPr>
                <w:spacing w:val="-2"/>
                <w:sz w:val="18"/>
              </w:rPr>
              <w:t>21609</w:t>
            </w:r>
          </w:p>
        </w:tc>
      </w:tr>
      <w:tr>
        <w:trPr>
          <w:trHeight w:val="340" w:hRule="atLeast"/>
        </w:trPr>
        <w:tc>
          <w:tcPr>
            <w:tcW w:w="720" w:type="dxa"/>
            <w:shd w:val="clear" w:color="auto" w:fill="D3D3D3"/>
          </w:tcPr>
          <w:p>
            <w:pPr>
              <w:pStyle w:val="TableParagraph"/>
              <w:rPr>
                <w:sz w:val="18"/>
              </w:rPr>
            </w:pPr>
            <w:r>
              <w:rPr>
                <w:spacing w:val="-5"/>
                <w:sz w:val="18"/>
              </w:rPr>
              <w:t>10</w:t>
            </w:r>
          </w:p>
        </w:tc>
        <w:tc>
          <w:tcPr>
            <w:tcW w:w="2880" w:type="dxa"/>
            <w:shd w:val="clear" w:color="auto" w:fill="D3D3D3"/>
          </w:tcPr>
          <w:p>
            <w:pPr>
              <w:pStyle w:val="TableParagraph"/>
              <w:rPr>
                <w:sz w:val="18"/>
              </w:rPr>
            </w:pPr>
            <w:r>
              <w:rPr>
                <w:spacing w:val="-2"/>
                <w:sz w:val="18"/>
              </w:rPr>
              <w:t>Odisha</w:t>
            </w:r>
          </w:p>
        </w:tc>
        <w:tc>
          <w:tcPr>
            <w:tcW w:w="1728" w:type="dxa"/>
            <w:shd w:val="clear" w:color="auto" w:fill="D3D3D3"/>
          </w:tcPr>
          <w:p>
            <w:pPr>
              <w:pStyle w:val="TableParagraph"/>
              <w:rPr>
                <w:sz w:val="18"/>
              </w:rPr>
            </w:pPr>
            <w:r>
              <w:rPr>
                <w:spacing w:val="-2"/>
                <w:sz w:val="18"/>
              </w:rPr>
              <w:t>124.9</w:t>
            </w:r>
          </w:p>
        </w:tc>
        <w:tc>
          <w:tcPr>
            <w:tcW w:w="1728" w:type="dxa"/>
            <w:shd w:val="clear" w:color="auto" w:fill="D3D3D3"/>
          </w:tcPr>
          <w:p>
            <w:pPr>
              <w:pStyle w:val="TableParagraph"/>
              <w:rPr>
                <w:sz w:val="18"/>
              </w:rPr>
            </w:pPr>
            <w:r>
              <w:rPr>
                <w:spacing w:val="-5"/>
                <w:sz w:val="18"/>
              </w:rPr>
              <w:t>406</w:t>
            </w:r>
          </w:p>
        </w:tc>
        <w:tc>
          <w:tcPr>
            <w:tcW w:w="1584" w:type="dxa"/>
            <w:shd w:val="clear" w:color="auto" w:fill="D3D3D3"/>
          </w:tcPr>
          <w:p>
            <w:pPr>
              <w:pStyle w:val="TableParagraph"/>
              <w:rPr>
                <w:sz w:val="18"/>
              </w:rPr>
            </w:pPr>
            <w:r>
              <w:rPr>
                <w:spacing w:val="-2"/>
                <w:sz w:val="18"/>
              </w:rPr>
              <w:t>11099</w:t>
            </w:r>
          </w:p>
        </w:tc>
      </w:tr>
    </w:tbl>
    <w:p>
      <w:pPr>
        <w:pStyle w:val="TableParagraph"/>
        <w:spacing w:after="0"/>
        <w:rPr>
          <w:sz w:val="18"/>
        </w:rPr>
        <w:sectPr>
          <w:headerReference w:type="default" r:id="rId10"/>
          <w:pgSz w:w="12240" w:h="15840"/>
          <w:pgMar w:header="867" w:footer="0" w:top="1160" w:bottom="280" w:left="1440" w:right="1440"/>
        </w:sectPr>
      </w:pPr>
    </w:p>
    <w:p>
      <w:pPr>
        <w:pStyle w:val="BodyText"/>
        <w:spacing w:before="103" w:after="1"/>
        <w:rPr>
          <w:rFonts w:ascii="Arial"/>
          <w:b/>
        </w:rPr>
      </w:pPr>
    </w:p>
    <w:p>
      <w:pPr>
        <w:spacing w:line="240" w:lineRule="auto"/>
        <w:ind w:left="447" w:right="0" w:firstLine="0"/>
        <w:rPr>
          <w:rFonts w:ascii="Arial"/>
          <w:sz w:val="20"/>
        </w:rPr>
      </w:pPr>
      <w:r>
        <w:rPr>
          <w:rFonts w:ascii="Arial"/>
          <w:sz w:val="20"/>
        </w:rPr>
        <w:drawing>
          <wp:inline distT="0" distB="0" distL="0" distR="0">
            <wp:extent cx="5407221" cy="2646330"/>
            <wp:effectExtent l="0" t="0" r="0" b="0"/>
            <wp:docPr id="9" name="Image 9"/>
            <wp:cNvGraphicFramePr>
              <a:graphicFrameLocks/>
            </wp:cNvGraphicFramePr>
            <a:graphic>
              <a:graphicData uri="http://schemas.openxmlformats.org/drawingml/2006/picture">
                <pic:pic>
                  <pic:nvPicPr>
                    <pic:cNvPr id="9" name="Image 9"/>
                    <pic:cNvPicPr/>
                  </pic:nvPicPr>
                  <pic:blipFill>
                    <a:blip r:embed="rId13" cstate="print"/>
                    <a:stretch>
                      <a:fillRect/>
                    </a:stretch>
                  </pic:blipFill>
                  <pic:spPr>
                    <a:xfrm>
                      <a:off x="0" y="0"/>
                      <a:ext cx="5407221" cy="2646330"/>
                    </a:xfrm>
                    <a:prstGeom prst="rect">
                      <a:avLst/>
                    </a:prstGeom>
                  </pic:spPr>
                </pic:pic>
              </a:graphicData>
            </a:graphic>
          </wp:inline>
        </w:drawing>
      </w:r>
      <w:r>
        <w:rPr>
          <w:rFonts w:ascii="Arial"/>
          <w:sz w:val="20"/>
        </w:rPr>
      </w:r>
    </w:p>
    <w:p>
      <w:pPr>
        <w:pStyle w:val="BodyText"/>
        <w:rPr>
          <w:rFonts w:ascii="Arial"/>
          <w:b/>
          <w:sz w:val="24"/>
        </w:rPr>
      </w:pPr>
    </w:p>
    <w:p>
      <w:pPr>
        <w:pStyle w:val="BodyText"/>
        <w:spacing w:before="69"/>
        <w:rPr>
          <w:rFonts w:ascii="Arial"/>
          <w:b/>
          <w:sz w:val="24"/>
        </w:rPr>
      </w:pPr>
    </w:p>
    <w:p>
      <w:pPr>
        <w:pStyle w:val="Heading1"/>
      </w:pPr>
      <w:r>
        <w:rPr>
          <w:color w:val="2D5B89"/>
        </w:rPr>
        <w:t>Top 10 </w:t>
      </w:r>
      <w:r>
        <w:rPr>
          <w:color w:val="2D5B89"/>
          <w:spacing w:val="-2"/>
        </w:rPr>
        <w:t>Pollutants</w:t>
      </w:r>
    </w:p>
    <w:p>
      <w:pPr>
        <w:pStyle w:val="BodyText"/>
        <w:spacing w:before="7"/>
        <w:rPr>
          <w:rFonts w:ascii="Arial"/>
          <w:b/>
          <w:sz w:val="15"/>
        </w:rPr>
      </w:pPr>
    </w:p>
    <w:tbl>
      <w:tblPr>
        <w:tblW w:w="0" w:type="auto"/>
        <w:jc w:val="left"/>
        <w:tblInd w:w="7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20"/>
        <w:gridCol w:w="3600"/>
        <w:gridCol w:w="1728"/>
        <w:gridCol w:w="1872"/>
      </w:tblGrid>
      <w:tr>
        <w:trPr>
          <w:trHeight w:val="520" w:hRule="atLeast"/>
        </w:trPr>
        <w:tc>
          <w:tcPr>
            <w:tcW w:w="720" w:type="dxa"/>
            <w:shd w:val="clear" w:color="auto" w:fill="2D5B89"/>
          </w:tcPr>
          <w:p>
            <w:pPr>
              <w:pStyle w:val="TableParagraph"/>
              <w:spacing w:before="62"/>
              <w:rPr>
                <w:rFonts w:ascii="Arial"/>
                <w:b/>
                <w:sz w:val="20"/>
              </w:rPr>
            </w:pPr>
            <w:r>
              <w:rPr>
                <w:rFonts w:ascii="Arial"/>
                <w:b/>
                <w:color w:val="F4F4F4"/>
                <w:spacing w:val="-4"/>
                <w:sz w:val="20"/>
              </w:rPr>
              <w:t>Rank</w:t>
            </w:r>
          </w:p>
        </w:tc>
        <w:tc>
          <w:tcPr>
            <w:tcW w:w="3600" w:type="dxa"/>
            <w:shd w:val="clear" w:color="auto" w:fill="2D5B89"/>
          </w:tcPr>
          <w:p>
            <w:pPr>
              <w:pStyle w:val="TableParagraph"/>
              <w:spacing w:before="62"/>
              <w:ind w:right="1"/>
              <w:rPr>
                <w:rFonts w:ascii="Arial"/>
                <w:b/>
                <w:sz w:val="20"/>
              </w:rPr>
            </w:pPr>
            <w:r>
              <w:rPr>
                <w:rFonts w:ascii="Arial"/>
                <w:b/>
                <w:color w:val="F4F4F4"/>
                <w:spacing w:val="-2"/>
                <w:sz w:val="20"/>
              </w:rPr>
              <w:t>Pollutant</w:t>
            </w:r>
          </w:p>
        </w:tc>
        <w:tc>
          <w:tcPr>
            <w:tcW w:w="1728" w:type="dxa"/>
            <w:shd w:val="clear" w:color="auto" w:fill="2D5B89"/>
          </w:tcPr>
          <w:p>
            <w:pPr>
              <w:pStyle w:val="TableParagraph"/>
              <w:spacing w:before="62"/>
              <w:rPr>
                <w:rFonts w:ascii="Arial"/>
                <w:b/>
                <w:sz w:val="20"/>
              </w:rPr>
            </w:pPr>
            <w:r>
              <w:rPr>
                <w:rFonts w:ascii="Arial"/>
                <w:b/>
                <w:color w:val="F4F4F4"/>
                <w:spacing w:val="-2"/>
                <w:sz w:val="20"/>
              </w:rPr>
              <w:t>Frequency</w:t>
            </w:r>
          </w:p>
        </w:tc>
        <w:tc>
          <w:tcPr>
            <w:tcW w:w="1872" w:type="dxa"/>
            <w:shd w:val="clear" w:color="auto" w:fill="2D5B89"/>
          </w:tcPr>
          <w:p>
            <w:pPr>
              <w:pStyle w:val="TableParagraph"/>
              <w:spacing w:before="62"/>
              <w:rPr>
                <w:rFonts w:ascii="Arial"/>
                <w:b/>
                <w:sz w:val="20"/>
              </w:rPr>
            </w:pPr>
            <w:r>
              <w:rPr>
                <w:rFonts w:ascii="Arial"/>
                <w:b/>
                <w:color w:val="F4F4F4"/>
                <w:spacing w:val="-2"/>
                <w:sz w:val="20"/>
              </w:rPr>
              <w:t>Percentage</w:t>
            </w:r>
          </w:p>
        </w:tc>
      </w:tr>
      <w:tr>
        <w:trPr>
          <w:trHeight w:val="340" w:hRule="atLeast"/>
        </w:trPr>
        <w:tc>
          <w:tcPr>
            <w:tcW w:w="720" w:type="dxa"/>
          </w:tcPr>
          <w:p>
            <w:pPr>
              <w:pStyle w:val="TableParagraph"/>
              <w:rPr>
                <w:sz w:val="18"/>
              </w:rPr>
            </w:pPr>
            <w:r>
              <w:rPr>
                <w:spacing w:val="-10"/>
                <w:sz w:val="18"/>
              </w:rPr>
              <w:t>1</w:t>
            </w:r>
          </w:p>
        </w:tc>
        <w:tc>
          <w:tcPr>
            <w:tcW w:w="3600" w:type="dxa"/>
          </w:tcPr>
          <w:p>
            <w:pPr>
              <w:pStyle w:val="TableParagraph"/>
              <w:rPr>
                <w:sz w:val="18"/>
              </w:rPr>
            </w:pPr>
            <w:r>
              <w:rPr>
                <w:spacing w:val="-4"/>
                <w:sz w:val="18"/>
              </w:rPr>
              <w:t>Pm10</w:t>
            </w:r>
          </w:p>
        </w:tc>
        <w:tc>
          <w:tcPr>
            <w:tcW w:w="1728" w:type="dxa"/>
          </w:tcPr>
          <w:p>
            <w:pPr>
              <w:pStyle w:val="TableParagraph"/>
              <w:rPr>
                <w:sz w:val="18"/>
              </w:rPr>
            </w:pPr>
            <w:r>
              <w:rPr>
                <w:spacing w:val="-2"/>
                <w:sz w:val="18"/>
              </w:rPr>
              <w:t>111053</w:t>
            </w:r>
          </w:p>
        </w:tc>
        <w:tc>
          <w:tcPr>
            <w:tcW w:w="1872" w:type="dxa"/>
          </w:tcPr>
          <w:p>
            <w:pPr>
              <w:pStyle w:val="TableParagraph"/>
              <w:rPr>
                <w:sz w:val="18"/>
              </w:rPr>
            </w:pPr>
            <w:r>
              <w:rPr>
                <w:spacing w:val="-2"/>
                <w:sz w:val="18"/>
              </w:rPr>
              <w:t>47.1%</w:t>
            </w:r>
          </w:p>
        </w:tc>
      </w:tr>
      <w:tr>
        <w:trPr>
          <w:trHeight w:val="340" w:hRule="atLeast"/>
        </w:trPr>
        <w:tc>
          <w:tcPr>
            <w:tcW w:w="720" w:type="dxa"/>
            <w:shd w:val="clear" w:color="auto" w:fill="D3D3D3"/>
          </w:tcPr>
          <w:p>
            <w:pPr>
              <w:pStyle w:val="TableParagraph"/>
              <w:rPr>
                <w:sz w:val="18"/>
              </w:rPr>
            </w:pPr>
            <w:r>
              <w:rPr>
                <w:spacing w:val="-10"/>
                <w:sz w:val="18"/>
              </w:rPr>
              <w:t>2</w:t>
            </w:r>
          </w:p>
        </w:tc>
        <w:tc>
          <w:tcPr>
            <w:tcW w:w="3600" w:type="dxa"/>
            <w:shd w:val="clear" w:color="auto" w:fill="D3D3D3"/>
          </w:tcPr>
          <w:p>
            <w:pPr>
              <w:pStyle w:val="TableParagraph"/>
              <w:rPr>
                <w:sz w:val="18"/>
              </w:rPr>
            </w:pPr>
            <w:r>
              <w:rPr>
                <w:spacing w:val="-2"/>
                <w:sz w:val="18"/>
              </w:rPr>
              <w:t>Pm2.5</w:t>
            </w:r>
          </w:p>
        </w:tc>
        <w:tc>
          <w:tcPr>
            <w:tcW w:w="1728" w:type="dxa"/>
            <w:shd w:val="clear" w:color="auto" w:fill="D3D3D3"/>
          </w:tcPr>
          <w:p>
            <w:pPr>
              <w:pStyle w:val="TableParagraph"/>
              <w:rPr>
                <w:sz w:val="18"/>
              </w:rPr>
            </w:pPr>
            <w:r>
              <w:rPr>
                <w:spacing w:val="-2"/>
                <w:sz w:val="18"/>
              </w:rPr>
              <w:t>59670</w:t>
            </w:r>
          </w:p>
        </w:tc>
        <w:tc>
          <w:tcPr>
            <w:tcW w:w="1872" w:type="dxa"/>
            <w:shd w:val="clear" w:color="auto" w:fill="D3D3D3"/>
          </w:tcPr>
          <w:p>
            <w:pPr>
              <w:pStyle w:val="TableParagraph"/>
              <w:rPr>
                <w:sz w:val="18"/>
              </w:rPr>
            </w:pPr>
            <w:r>
              <w:rPr>
                <w:spacing w:val="-2"/>
                <w:sz w:val="18"/>
              </w:rPr>
              <w:t>25.3%</w:t>
            </w:r>
          </w:p>
        </w:tc>
      </w:tr>
      <w:tr>
        <w:trPr>
          <w:trHeight w:val="340" w:hRule="atLeast"/>
        </w:trPr>
        <w:tc>
          <w:tcPr>
            <w:tcW w:w="720" w:type="dxa"/>
          </w:tcPr>
          <w:p>
            <w:pPr>
              <w:pStyle w:val="TableParagraph"/>
              <w:rPr>
                <w:sz w:val="18"/>
              </w:rPr>
            </w:pPr>
            <w:r>
              <w:rPr>
                <w:spacing w:val="-10"/>
                <w:sz w:val="18"/>
              </w:rPr>
              <w:t>3</w:t>
            </w:r>
          </w:p>
        </w:tc>
        <w:tc>
          <w:tcPr>
            <w:tcW w:w="3600" w:type="dxa"/>
          </w:tcPr>
          <w:p>
            <w:pPr>
              <w:pStyle w:val="TableParagraph"/>
              <w:ind w:right="1"/>
              <w:rPr>
                <w:sz w:val="18"/>
              </w:rPr>
            </w:pPr>
            <w:r>
              <w:rPr>
                <w:spacing w:val="-5"/>
                <w:sz w:val="18"/>
              </w:rPr>
              <w:t>O3</w:t>
            </w:r>
          </w:p>
        </w:tc>
        <w:tc>
          <w:tcPr>
            <w:tcW w:w="1728" w:type="dxa"/>
          </w:tcPr>
          <w:p>
            <w:pPr>
              <w:pStyle w:val="TableParagraph"/>
              <w:rPr>
                <w:sz w:val="18"/>
              </w:rPr>
            </w:pPr>
            <w:r>
              <w:rPr>
                <w:spacing w:val="-2"/>
                <w:sz w:val="18"/>
              </w:rPr>
              <w:t>16202</w:t>
            </w:r>
          </w:p>
        </w:tc>
        <w:tc>
          <w:tcPr>
            <w:tcW w:w="1872" w:type="dxa"/>
          </w:tcPr>
          <w:p>
            <w:pPr>
              <w:pStyle w:val="TableParagraph"/>
              <w:rPr>
                <w:sz w:val="18"/>
              </w:rPr>
            </w:pPr>
            <w:r>
              <w:rPr>
                <w:spacing w:val="-4"/>
                <w:sz w:val="18"/>
              </w:rPr>
              <w:t>6.9%</w:t>
            </w:r>
          </w:p>
        </w:tc>
      </w:tr>
      <w:tr>
        <w:trPr>
          <w:trHeight w:val="340" w:hRule="atLeast"/>
        </w:trPr>
        <w:tc>
          <w:tcPr>
            <w:tcW w:w="720" w:type="dxa"/>
            <w:shd w:val="clear" w:color="auto" w:fill="D3D3D3"/>
          </w:tcPr>
          <w:p>
            <w:pPr>
              <w:pStyle w:val="TableParagraph"/>
              <w:rPr>
                <w:sz w:val="18"/>
              </w:rPr>
            </w:pPr>
            <w:r>
              <w:rPr>
                <w:spacing w:val="-10"/>
                <w:sz w:val="18"/>
              </w:rPr>
              <w:t>4</w:t>
            </w:r>
          </w:p>
        </w:tc>
        <w:tc>
          <w:tcPr>
            <w:tcW w:w="3600" w:type="dxa"/>
            <w:shd w:val="clear" w:color="auto" w:fill="D3D3D3"/>
          </w:tcPr>
          <w:p>
            <w:pPr>
              <w:pStyle w:val="TableParagraph"/>
              <w:rPr>
                <w:sz w:val="18"/>
              </w:rPr>
            </w:pPr>
            <w:r>
              <w:rPr>
                <w:spacing w:val="-2"/>
                <w:sz w:val="18"/>
              </w:rPr>
              <w:t>Pm2.5,Pm10</w:t>
            </w:r>
          </w:p>
        </w:tc>
        <w:tc>
          <w:tcPr>
            <w:tcW w:w="1728" w:type="dxa"/>
            <w:shd w:val="clear" w:color="auto" w:fill="D3D3D3"/>
          </w:tcPr>
          <w:p>
            <w:pPr>
              <w:pStyle w:val="TableParagraph"/>
              <w:rPr>
                <w:sz w:val="18"/>
              </w:rPr>
            </w:pPr>
            <w:r>
              <w:rPr>
                <w:spacing w:val="-2"/>
                <w:sz w:val="18"/>
              </w:rPr>
              <w:t>13199</w:t>
            </w:r>
          </w:p>
        </w:tc>
        <w:tc>
          <w:tcPr>
            <w:tcW w:w="1872" w:type="dxa"/>
            <w:shd w:val="clear" w:color="auto" w:fill="D3D3D3"/>
          </w:tcPr>
          <w:p>
            <w:pPr>
              <w:pStyle w:val="TableParagraph"/>
              <w:rPr>
                <w:sz w:val="18"/>
              </w:rPr>
            </w:pPr>
            <w:r>
              <w:rPr>
                <w:spacing w:val="-4"/>
                <w:sz w:val="18"/>
              </w:rPr>
              <w:t>5.6%</w:t>
            </w:r>
          </w:p>
        </w:tc>
      </w:tr>
      <w:tr>
        <w:trPr>
          <w:trHeight w:val="340" w:hRule="atLeast"/>
        </w:trPr>
        <w:tc>
          <w:tcPr>
            <w:tcW w:w="720" w:type="dxa"/>
          </w:tcPr>
          <w:p>
            <w:pPr>
              <w:pStyle w:val="TableParagraph"/>
              <w:rPr>
                <w:sz w:val="18"/>
              </w:rPr>
            </w:pPr>
            <w:r>
              <w:rPr>
                <w:spacing w:val="-10"/>
                <w:sz w:val="18"/>
              </w:rPr>
              <w:t>5</w:t>
            </w:r>
          </w:p>
        </w:tc>
        <w:tc>
          <w:tcPr>
            <w:tcW w:w="3600" w:type="dxa"/>
          </w:tcPr>
          <w:p>
            <w:pPr>
              <w:pStyle w:val="TableParagraph"/>
              <w:rPr>
                <w:sz w:val="18"/>
              </w:rPr>
            </w:pPr>
            <w:r>
              <w:rPr>
                <w:spacing w:val="-5"/>
                <w:sz w:val="18"/>
              </w:rPr>
              <w:t>Co</w:t>
            </w:r>
          </w:p>
        </w:tc>
        <w:tc>
          <w:tcPr>
            <w:tcW w:w="1728" w:type="dxa"/>
          </w:tcPr>
          <w:p>
            <w:pPr>
              <w:pStyle w:val="TableParagraph"/>
              <w:rPr>
                <w:sz w:val="18"/>
              </w:rPr>
            </w:pPr>
            <w:r>
              <w:rPr>
                <w:spacing w:val="-2"/>
                <w:sz w:val="18"/>
              </w:rPr>
              <w:t>12867</w:t>
            </w:r>
          </w:p>
        </w:tc>
        <w:tc>
          <w:tcPr>
            <w:tcW w:w="1872" w:type="dxa"/>
          </w:tcPr>
          <w:p>
            <w:pPr>
              <w:pStyle w:val="TableParagraph"/>
              <w:rPr>
                <w:sz w:val="18"/>
              </w:rPr>
            </w:pPr>
            <w:r>
              <w:rPr>
                <w:spacing w:val="-4"/>
                <w:sz w:val="18"/>
              </w:rPr>
              <w:t>5.5%</w:t>
            </w:r>
          </w:p>
        </w:tc>
      </w:tr>
      <w:tr>
        <w:trPr>
          <w:trHeight w:val="340" w:hRule="atLeast"/>
        </w:trPr>
        <w:tc>
          <w:tcPr>
            <w:tcW w:w="720" w:type="dxa"/>
            <w:shd w:val="clear" w:color="auto" w:fill="D3D3D3"/>
          </w:tcPr>
          <w:p>
            <w:pPr>
              <w:pStyle w:val="TableParagraph"/>
              <w:rPr>
                <w:sz w:val="18"/>
              </w:rPr>
            </w:pPr>
            <w:r>
              <w:rPr>
                <w:spacing w:val="-10"/>
                <w:sz w:val="18"/>
              </w:rPr>
              <w:t>6</w:t>
            </w:r>
          </w:p>
        </w:tc>
        <w:tc>
          <w:tcPr>
            <w:tcW w:w="3600" w:type="dxa"/>
            <w:shd w:val="clear" w:color="auto" w:fill="D3D3D3"/>
          </w:tcPr>
          <w:p>
            <w:pPr>
              <w:pStyle w:val="TableParagraph"/>
              <w:rPr>
                <w:sz w:val="18"/>
              </w:rPr>
            </w:pPr>
            <w:r>
              <w:rPr>
                <w:spacing w:val="-2"/>
                <w:sz w:val="18"/>
              </w:rPr>
              <w:t>Pm10,O3</w:t>
            </w:r>
          </w:p>
        </w:tc>
        <w:tc>
          <w:tcPr>
            <w:tcW w:w="1728" w:type="dxa"/>
            <w:shd w:val="clear" w:color="auto" w:fill="D3D3D3"/>
          </w:tcPr>
          <w:p>
            <w:pPr>
              <w:pStyle w:val="TableParagraph"/>
              <w:rPr>
                <w:sz w:val="18"/>
              </w:rPr>
            </w:pPr>
            <w:r>
              <w:rPr>
                <w:spacing w:val="-4"/>
                <w:sz w:val="18"/>
              </w:rPr>
              <w:t>3914</w:t>
            </w:r>
          </w:p>
        </w:tc>
        <w:tc>
          <w:tcPr>
            <w:tcW w:w="1872" w:type="dxa"/>
            <w:shd w:val="clear" w:color="auto" w:fill="D3D3D3"/>
          </w:tcPr>
          <w:p>
            <w:pPr>
              <w:pStyle w:val="TableParagraph"/>
              <w:rPr>
                <w:sz w:val="18"/>
              </w:rPr>
            </w:pPr>
            <w:r>
              <w:rPr>
                <w:spacing w:val="-4"/>
                <w:sz w:val="18"/>
              </w:rPr>
              <w:t>1.7%</w:t>
            </w:r>
          </w:p>
        </w:tc>
      </w:tr>
      <w:tr>
        <w:trPr>
          <w:trHeight w:val="340" w:hRule="atLeast"/>
        </w:trPr>
        <w:tc>
          <w:tcPr>
            <w:tcW w:w="720" w:type="dxa"/>
          </w:tcPr>
          <w:p>
            <w:pPr>
              <w:pStyle w:val="TableParagraph"/>
              <w:rPr>
                <w:sz w:val="18"/>
              </w:rPr>
            </w:pPr>
            <w:r>
              <w:rPr>
                <w:spacing w:val="-10"/>
                <w:sz w:val="18"/>
              </w:rPr>
              <w:t>7</w:t>
            </w:r>
          </w:p>
        </w:tc>
        <w:tc>
          <w:tcPr>
            <w:tcW w:w="3600" w:type="dxa"/>
          </w:tcPr>
          <w:p>
            <w:pPr>
              <w:pStyle w:val="TableParagraph"/>
              <w:rPr>
                <w:sz w:val="18"/>
              </w:rPr>
            </w:pPr>
            <w:r>
              <w:rPr>
                <w:spacing w:val="-5"/>
                <w:sz w:val="18"/>
              </w:rPr>
              <w:t>So2</w:t>
            </w:r>
          </w:p>
        </w:tc>
        <w:tc>
          <w:tcPr>
            <w:tcW w:w="1728" w:type="dxa"/>
          </w:tcPr>
          <w:p>
            <w:pPr>
              <w:pStyle w:val="TableParagraph"/>
              <w:rPr>
                <w:sz w:val="18"/>
              </w:rPr>
            </w:pPr>
            <w:r>
              <w:rPr>
                <w:spacing w:val="-4"/>
                <w:sz w:val="18"/>
              </w:rPr>
              <w:t>3815</w:t>
            </w:r>
          </w:p>
        </w:tc>
        <w:tc>
          <w:tcPr>
            <w:tcW w:w="1872" w:type="dxa"/>
          </w:tcPr>
          <w:p>
            <w:pPr>
              <w:pStyle w:val="TableParagraph"/>
              <w:rPr>
                <w:sz w:val="18"/>
              </w:rPr>
            </w:pPr>
            <w:r>
              <w:rPr>
                <w:spacing w:val="-4"/>
                <w:sz w:val="18"/>
              </w:rPr>
              <w:t>1.6%</w:t>
            </w:r>
          </w:p>
        </w:tc>
      </w:tr>
      <w:tr>
        <w:trPr>
          <w:trHeight w:val="340" w:hRule="atLeast"/>
        </w:trPr>
        <w:tc>
          <w:tcPr>
            <w:tcW w:w="720" w:type="dxa"/>
            <w:shd w:val="clear" w:color="auto" w:fill="D3D3D3"/>
          </w:tcPr>
          <w:p>
            <w:pPr>
              <w:pStyle w:val="TableParagraph"/>
              <w:rPr>
                <w:sz w:val="18"/>
              </w:rPr>
            </w:pPr>
            <w:r>
              <w:rPr>
                <w:spacing w:val="-10"/>
                <w:sz w:val="18"/>
              </w:rPr>
              <w:t>8</w:t>
            </w:r>
          </w:p>
        </w:tc>
        <w:tc>
          <w:tcPr>
            <w:tcW w:w="3600" w:type="dxa"/>
            <w:shd w:val="clear" w:color="auto" w:fill="D3D3D3"/>
          </w:tcPr>
          <w:p>
            <w:pPr>
              <w:pStyle w:val="TableParagraph"/>
              <w:rPr>
                <w:sz w:val="18"/>
              </w:rPr>
            </w:pPr>
            <w:r>
              <w:rPr>
                <w:spacing w:val="-5"/>
                <w:sz w:val="18"/>
              </w:rPr>
              <w:t>No2</w:t>
            </w:r>
          </w:p>
        </w:tc>
        <w:tc>
          <w:tcPr>
            <w:tcW w:w="1728" w:type="dxa"/>
            <w:shd w:val="clear" w:color="auto" w:fill="D3D3D3"/>
          </w:tcPr>
          <w:p>
            <w:pPr>
              <w:pStyle w:val="TableParagraph"/>
              <w:rPr>
                <w:sz w:val="18"/>
              </w:rPr>
            </w:pPr>
            <w:r>
              <w:rPr>
                <w:spacing w:val="-4"/>
                <w:sz w:val="18"/>
              </w:rPr>
              <w:t>3012</w:t>
            </w:r>
          </w:p>
        </w:tc>
        <w:tc>
          <w:tcPr>
            <w:tcW w:w="1872" w:type="dxa"/>
            <w:shd w:val="clear" w:color="auto" w:fill="D3D3D3"/>
          </w:tcPr>
          <w:p>
            <w:pPr>
              <w:pStyle w:val="TableParagraph"/>
              <w:rPr>
                <w:sz w:val="18"/>
              </w:rPr>
            </w:pPr>
            <w:r>
              <w:rPr>
                <w:spacing w:val="-4"/>
                <w:sz w:val="18"/>
              </w:rPr>
              <w:t>1.3%</w:t>
            </w:r>
          </w:p>
        </w:tc>
      </w:tr>
      <w:tr>
        <w:trPr>
          <w:trHeight w:val="340" w:hRule="atLeast"/>
        </w:trPr>
        <w:tc>
          <w:tcPr>
            <w:tcW w:w="720" w:type="dxa"/>
          </w:tcPr>
          <w:p>
            <w:pPr>
              <w:pStyle w:val="TableParagraph"/>
              <w:rPr>
                <w:sz w:val="18"/>
              </w:rPr>
            </w:pPr>
            <w:r>
              <w:rPr>
                <w:spacing w:val="-10"/>
                <w:sz w:val="18"/>
              </w:rPr>
              <w:t>9</w:t>
            </w:r>
          </w:p>
        </w:tc>
        <w:tc>
          <w:tcPr>
            <w:tcW w:w="3600" w:type="dxa"/>
          </w:tcPr>
          <w:p>
            <w:pPr>
              <w:pStyle w:val="TableParagraph"/>
              <w:rPr>
                <w:sz w:val="18"/>
              </w:rPr>
            </w:pPr>
            <w:r>
              <w:rPr>
                <w:spacing w:val="-2"/>
                <w:sz w:val="18"/>
              </w:rPr>
              <w:t>Pm10,Co</w:t>
            </w:r>
          </w:p>
        </w:tc>
        <w:tc>
          <w:tcPr>
            <w:tcW w:w="1728" w:type="dxa"/>
          </w:tcPr>
          <w:p>
            <w:pPr>
              <w:pStyle w:val="TableParagraph"/>
              <w:rPr>
                <w:sz w:val="18"/>
              </w:rPr>
            </w:pPr>
            <w:r>
              <w:rPr>
                <w:spacing w:val="-4"/>
                <w:sz w:val="18"/>
              </w:rPr>
              <w:t>2658</w:t>
            </w:r>
          </w:p>
        </w:tc>
        <w:tc>
          <w:tcPr>
            <w:tcW w:w="1872" w:type="dxa"/>
          </w:tcPr>
          <w:p>
            <w:pPr>
              <w:pStyle w:val="TableParagraph"/>
              <w:rPr>
                <w:sz w:val="18"/>
              </w:rPr>
            </w:pPr>
            <w:r>
              <w:rPr>
                <w:spacing w:val="-4"/>
                <w:sz w:val="18"/>
              </w:rPr>
              <w:t>1.1%</w:t>
            </w:r>
          </w:p>
        </w:tc>
      </w:tr>
      <w:tr>
        <w:trPr>
          <w:trHeight w:val="340" w:hRule="atLeast"/>
        </w:trPr>
        <w:tc>
          <w:tcPr>
            <w:tcW w:w="720" w:type="dxa"/>
            <w:shd w:val="clear" w:color="auto" w:fill="D3D3D3"/>
          </w:tcPr>
          <w:p>
            <w:pPr>
              <w:pStyle w:val="TableParagraph"/>
              <w:rPr>
                <w:sz w:val="18"/>
              </w:rPr>
            </w:pPr>
            <w:r>
              <w:rPr>
                <w:spacing w:val="-5"/>
                <w:sz w:val="18"/>
              </w:rPr>
              <w:t>10</w:t>
            </w:r>
          </w:p>
        </w:tc>
        <w:tc>
          <w:tcPr>
            <w:tcW w:w="3600" w:type="dxa"/>
            <w:shd w:val="clear" w:color="auto" w:fill="D3D3D3"/>
          </w:tcPr>
          <w:p>
            <w:pPr>
              <w:pStyle w:val="TableParagraph"/>
              <w:ind w:right="1"/>
              <w:rPr>
                <w:sz w:val="18"/>
              </w:rPr>
            </w:pPr>
            <w:r>
              <w:rPr>
                <w:spacing w:val="-2"/>
                <w:sz w:val="18"/>
              </w:rPr>
              <w:t>Pm2.5,O3</w:t>
            </w:r>
          </w:p>
        </w:tc>
        <w:tc>
          <w:tcPr>
            <w:tcW w:w="1728" w:type="dxa"/>
            <w:shd w:val="clear" w:color="auto" w:fill="D3D3D3"/>
          </w:tcPr>
          <w:p>
            <w:pPr>
              <w:pStyle w:val="TableParagraph"/>
              <w:rPr>
                <w:sz w:val="18"/>
              </w:rPr>
            </w:pPr>
            <w:r>
              <w:rPr>
                <w:spacing w:val="-4"/>
                <w:sz w:val="18"/>
              </w:rPr>
              <w:t>2088</w:t>
            </w:r>
          </w:p>
        </w:tc>
        <w:tc>
          <w:tcPr>
            <w:tcW w:w="1872" w:type="dxa"/>
            <w:shd w:val="clear" w:color="auto" w:fill="D3D3D3"/>
          </w:tcPr>
          <w:p>
            <w:pPr>
              <w:pStyle w:val="TableParagraph"/>
              <w:rPr>
                <w:sz w:val="18"/>
              </w:rPr>
            </w:pPr>
            <w:r>
              <w:rPr>
                <w:spacing w:val="-4"/>
                <w:sz w:val="18"/>
              </w:rPr>
              <w:t>0.9%</w:t>
            </w:r>
          </w:p>
        </w:tc>
      </w:tr>
    </w:tbl>
    <w:p>
      <w:pPr>
        <w:pStyle w:val="TableParagraph"/>
        <w:spacing w:after="0"/>
        <w:rPr>
          <w:sz w:val="18"/>
        </w:rPr>
        <w:sectPr>
          <w:headerReference w:type="default" r:id="rId12"/>
          <w:pgSz w:w="12240" w:h="15840"/>
          <w:pgMar w:header="867" w:footer="0" w:top="1160" w:bottom="280" w:left="1440" w:right="1440"/>
        </w:sectPr>
      </w:pPr>
    </w:p>
    <w:p>
      <w:pPr>
        <w:pStyle w:val="Heading1"/>
        <w:spacing w:before="275"/>
      </w:pPr>
      <w:r>
        <w:rPr>
          <w:color w:val="2D5B89"/>
        </w:rPr>
        <w:t>Risk </w:t>
      </w:r>
      <w:r>
        <w:rPr>
          <w:color w:val="2D5B89"/>
          <w:spacing w:val="-2"/>
        </w:rPr>
        <w:t>Assessment</w:t>
      </w:r>
    </w:p>
    <w:p>
      <w:pPr>
        <w:pStyle w:val="Heading2"/>
        <w:spacing w:before="202"/>
        <w:ind w:left="120" w:firstLine="0"/>
      </w:pPr>
      <w:r>
        <w:rPr/>
        <w:t>High-Risk Areas (Poor/Very Poor/Severe </w:t>
      </w:r>
      <w:r>
        <w:rPr>
          <w:spacing w:val="-2"/>
        </w:rPr>
        <w:t>Status):</w:t>
      </w:r>
    </w:p>
    <w:p>
      <w:pPr>
        <w:pStyle w:val="BodyText"/>
        <w:spacing w:line="249" w:lineRule="auto" w:before="90"/>
        <w:ind w:left="120"/>
      </w:pPr>
      <w:r>
        <w:rPr/>
        <w:t>Top</w:t>
      </w:r>
      <w:r>
        <w:rPr>
          <w:spacing w:val="30"/>
        </w:rPr>
        <w:t> </w:t>
      </w:r>
      <w:r>
        <w:rPr/>
        <w:t>areas</w:t>
      </w:r>
      <w:r>
        <w:rPr>
          <w:spacing w:val="30"/>
        </w:rPr>
        <w:t> </w:t>
      </w:r>
      <w:r>
        <w:rPr/>
        <w:t>with</w:t>
      </w:r>
      <w:r>
        <w:rPr>
          <w:spacing w:val="30"/>
        </w:rPr>
        <w:t> </w:t>
      </w:r>
      <w:r>
        <w:rPr/>
        <w:t>poor</w:t>
      </w:r>
      <w:r>
        <w:rPr>
          <w:spacing w:val="30"/>
        </w:rPr>
        <w:t> </w:t>
      </w:r>
      <w:r>
        <w:rPr/>
        <w:t>air</w:t>
      </w:r>
      <w:r>
        <w:rPr>
          <w:spacing w:val="30"/>
        </w:rPr>
        <w:t> </w:t>
      </w:r>
      <w:r>
        <w:rPr/>
        <w:t>quality</w:t>
      </w:r>
      <w:r>
        <w:rPr>
          <w:spacing w:val="30"/>
        </w:rPr>
        <w:t> </w:t>
      </w:r>
      <w:r>
        <w:rPr/>
        <w:t>status:</w:t>
      </w:r>
      <w:r>
        <w:rPr>
          <w:spacing w:val="30"/>
        </w:rPr>
        <w:t> </w:t>
      </w:r>
      <w:r>
        <w:rPr/>
        <w:t>Delhi</w:t>
      </w:r>
      <w:r>
        <w:rPr>
          <w:spacing w:val="30"/>
        </w:rPr>
        <w:t> </w:t>
      </w:r>
      <w:r>
        <w:rPr/>
        <w:t>(528</w:t>
      </w:r>
      <w:r>
        <w:rPr>
          <w:spacing w:val="30"/>
        </w:rPr>
        <w:t> </w:t>
      </w:r>
      <w:r>
        <w:rPr/>
        <w:t>observations),</w:t>
      </w:r>
      <w:r>
        <w:rPr>
          <w:spacing w:val="30"/>
        </w:rPr>
        <w:t> </w:t>
      </w:r>
      <w:r>
        <w:rPr/>
        <w:t>Greater</w:t>
      </w:r>
      <w:r>
        <w:rPr>
          <w:spacing w:val="30"/>
        </w:rPr>
        <w:t> </w:t>
      </w:r>
      <w:r>
        <w:rPr/>
        <w:t>Noida</w:t>
      </w:r>
      <w:r>
        <w:rPr>
          <w:spacing w:val="30"/>
        </w:rPr>
        <w:t> </w:t>
      </w:r>
      <w:r>
        <w:rPr/>
        <w:t>(522</w:t>
      </w:r>
      <w:r>
        <w:rPr>
          <w:spacing w:val="30"/>
        </w:rPr>
        <w:t> </w:t>
      </w:r>
      <w:r>
        <w:rPr/>
        <w:t>observations), Gurugram (498 observations), Patna (449 observations), Noida (446 observations)</w:t>
      </w:r>
    </w:p>
    <w:p>
      <w:pPr>
        <w:pStyle w:val="BodyText"/>
      </w:pPr>
    </w:p>
    <w:p>
      <w:pPr>
        <w:pStyle w:val="BodyText"/>
        <w:spacing w:before="157"/>
      </w:pPr>
    </w:p>
    <w:p>
      <w:pPr>
        <w:pStyle w:val="Heading2"/>
        <w:ind w:left="120" w:firstLine="0"/>
      </w:pPr>
      <w:r>
        <w:rPr/>
        <w:t>High-AQI </w:t>
      </w:r>
      <w:r>
        <w:rPr>
          <w:spacing w:val="-2"/>
        </w:rPr>
        <w:t>States:</w:t>
      </w:r>
    </w:p>
    <w:p>
      <w:pPr>
        <w:pStyle w:val="BodyText"/>
        <w:spacing w:before="91"/>
        <w:ind w:left="120"/>
      </w:pPr>
      <w:r>
        <w:rPr/>
        <w:t>States with mean AQI &gt; 142: Delhi, Jharkhand, Himachal Pradesh, </w:t>
      </w:r>
      <w:r>
        <w:rPr>
          <w:spacing w:val="-2"/>
        </w:rPr>
        <w:t>Bihar</w:t>
      </w:r>
    </w:p>
    <w:p>
      <w:pPr>
        <w:pStyle w:val="BodyText"/>
      </w:pPr>
    </w:p>
    <w:p>
      <w:pPr>
        <w:pStyle w:val="BodyText"/>
        <w:spacing w:before="208"/>
      </w:pPr>
    </w:p>
    <w:p>
      <w:pPr>
        <w:pStyle w:val="Heading1"/>
      </w:pPr>
      <w:r>
        <w:rPr>
          <w:color w:val="2D5B89"/>
        </w:rPr>
        <w:t>Opportunity </w:t>
      </w:r>
      <w:r>
        <w:rPr>
          <w:color w:val="2D5B89"/>
          <w:spacing w:val="-2"/>
        </w:rPr>
        <w:t>Assessment</w:t>
      </w:r>
    </w:p>
    <w:p>
      <w:pPr>
        <w:pStyle w:val="Heading2"/>
        <w:spacing w:before="202"/>
        <w:ind w:left="120" w:firstLine="0"/>
      </w:pPr>
      <w:r>
        <w:rPr/>
        <w:t>Areas for Targeted </w:t>
      </w:r>
      <w:r>
        <w:rPr>
          <w:spacing w:val="-2"/>
        </w:rPr>
        <w:t>Intervention:</w:t>
      </w:r>
    </w:p>
    <w:p>
      <w:pPr>
        <w:pStyle w:val="BodyText"/>
        <w:spacing w:line="249" w:lineRule="auto" w:before="90"/>
        <w:ind w:left="120"/>
      </w:pPr>
      <w:r>
        <w:rPr/>
        <w:t>Areas</w:t>
      </w:r>
      <w:r>
        <w:rPr>
          <w:spacing w:val="80"/>
        </w:rPr>
        <w:t> </w:t>
      </w:r>
      <w:r>
        <w:rPr/>
        <w:t>with</w:t>
      </w:r>
      <w:r>
        <w:rPr>
          <w:spacing w:val="80"/>
        </w:rPr>
        <w:t> </w:t>
      </w:r>
      <w:r>
        <w:rPr/>
        <w:t>moderate</w:t>
      </w:r>
      <w:r>
        <w:rPr>
          <w:spacing w:val="80"/>
        </w:rPr>
        <w:t> </w:t>
      </w:r>
      <w:r>
        <w:rPr/>
        <w:t>AQI</w:t>
      </w:r>
      <w:r>
        <w:rPr>
          <w:spacing w:val="80"/>
        </w:rPr>
        <w:t> </w:t>
      </w:r>
      <w:r>
        <w:rPr/>
        <w:t>(100-200)</w:t>
      </w:r>
      <w:r>
        <w:rPr>
          <w:spacing w:val="80"/>
        </w:rPr>
        <w:t> </w:t>
      </w:r>
      <w:r>
        <w:rPr/>
        <w:t>where</w:t>
      </w:r>
      <w:r>
        <w:rPr>
          <w:spacing w:val="80"/>
        </w:rPr>
        <w:t> </w:t>
      </w:r>
      <w:r>
        <w:rPr/>
        <w:t>targeted</w:t>
      </w:r>
      <w:r>
        <w:rPr>
          <w:spacing w:val="80"/>
        </w:rPr>
        <w:t> </w:t>
      </w:r>
      <w:r>
        <w:rPr/>
        <w:t>interventions</w:t>
      </w:r>
      <w:r>
        <w:rPr>
          <w:spacing w:val="80"/>
        </w:rPr>
        <w:t> </w:t>
      </w:r>
      <w:r>
        <w:rPr/>
        <w:t>could</w:t>
      </w:r>
      <w:r>
        <w:rPr>
          <w:spacing w:val="80"/>
        </w:rPr>
        <w:t> </w:t>
      </w:r>
      <w:r>
        <w:rPr/>
        <w:t>prevent</w:t>
      </w:r>
      <w:r>
        <w:rPr>
          <w:spacing w:val="80"/>
        </w:rPr>
        <w:t> </w:t>
      </w:r>
      <w:r>
        <w:rPr/>
        <w:t>deterioration: Aurangabad, Jodhpur, Jaipur, Ahmedabad, Pithampur</w:t>
      </w:r>
    </w:p>
    <w:p>
      <w:pPr>
        <w:pStyle w:val="BodyText"/>
      </w:pPr>
    </w:p>
    <w:p>
      <w:pPr>
        <w:pStyle w:val="BodyText"/>
        <w:spacing w:before="157"/>
      </w:pPr>
    </w:p>
    <w:p>
      <w:pPr>
        <w:pStyle w:val="Heading2"/>
        <w:ind w:left="120" w:firstLine="0"/>
      </w:pPr>
      <w:r>
        <w:rPr/>
        <w:t>Monitoring Infrastructure </w:t>
      </w:r>
      <w:r>
        <w:rPr>
          <w:spacing w:val="-2"/>
        </w:rPr>
        <w:t>Expansion:</w:t>
      </w:r>
    </w:p>
    <w:p>
      <w:pPr>
        <w:pStyle w:val="BodyText"/>
        <w:spacing w:line="249" w:lineRule="auto" w:before="90"/>
        <w:ind w:left="120"/>
      </w:pPr>
      <w:r>
        <w:rPr/>
        <w:t>Undermonitored</w:t>
      </w:r>
      <w:r>
        <w:rPr>
          <w:spacing w:val="-1"/>
        </w:rPr>
        <w:t> </w:t>
      </w:r>
      <w:r>
        <w:rPr/>
        <w:t>areas</w:t>
      </w:r>
      <w:r>
        <w:rPr>
          <w:spacing w:val="-1"/>
        </w:rPr>
        <w:t> </w:t>
      </w:r>
      <w:r>
        <w:rPr/>
        <w:t>with</w:t>
      </w:r>
      <w:r>
        <w:rPr>
          <w:spacing w:val="-1"/>
        </w:rPr>
        <w:t> </w:t>
      </w:r>
      <w:r>
        <w:rPr/>
        <w:t>high</w:t>
      </w:r>
      <w:r>
        <w:rPr>
          <w:spacing w:val="-1"/>
        </w:rPr>
        <w:t> </w:t>
      </w:r>
      <w:r>
        <w:rPr/>
        <w:t>AQI</w:t>
      </w:r>
      <w:r>
        <w:rPr>
          <w:spacing w:val="-1"/>
        </w:rPr>
        <w:t> </w:t>
      </w:r>
      <w:r>
        <w:rPr/>
        <w:t>requiring</w:t>
      </w:r>
      <w:r>
        <w:rPr>
          <w:spacing w:val="-1"/>
        </w:rPr>
        <w:t> </w:t>
      </w:r>
      <w:r>
        <w:rPr/>
        <w:t>monitoring</w:t>
      </w:r>
      <w:r>
        <w:rPr>
          <w:spacing w:val="-1"/>
        </w:rPr>
        <w:t> </w:t>
      </w:r>
      <w:r>
        <w:rPr/>
        <w:t>infrastructure</w:t>
      </w:r>
      <w:r>
        <w:rPr>
          <w:spacing w:val="-1"/>
        </w:rPr>
        <w:t> </w:t>
      </w:r>
      <w:r>
        <w:rPr/>
        <w:t>expansion:</w:t>
      </w:r>
      <w:r>
        <w:rPr>
          <w:spacing w:val="-1"/>
        </w:rPr>
        <w:t> </w:t>
      </w:r>
      <w:r>
        <w:rPr/>
        <w:t>Kashipur,</w:t>
      </w:r>
      <w:r>
        <w:rPr>
          <w:spacing w:val="-1"/>
        </w:rPr>
        <w:t> </w:t>
      </w:r>
      <w:r>
        <w:rPr/>
        <w:t>Manesar, </w:t>
      </w:r>
      <w:r>
        <w:rPr>
          <w:spacing w:val="-2"/>
        </w:rPr>
        <w:t>Manguraha</w:t>
      </w:r>
    </w:p>
    <w:p>
      <w:pPr>
        <w:pStyle w:val="BodyText"/>
        <w:spacing w:after="0" w:line="249" w:lineRule="auto"/>
        <w:sectPr>
          <w:headerReference w:type="default" r:id="rId14"/>
          <w:pgSz w:w="12240" w:h="15840"/>
          <w:pgMar w:header="867" w:footer="0" w:top="1160" w:bottom="280" w:left="1440" w:right="1440"/>
        </w:sectPr>
      </w:pPr>
    </w:p>
    <w:p>
      <w:pPr>
        <w:pStyle w:val="Heading1"/>
        <w:spacing w:before="275"/>
      </w:pPr>
      <w:r>
        <w:rPr>
          <w:color w:val="2D5B89"/>
        </w:rPr>
        <w:t>Insight 1: Overall Air Quality </w:t>
      </w:r>
      <w:r>
        <w:rPr>
          <w:color w:val="2D5B89"/>
          <w:spacing w:val="-2"/>
        </w:rPr>
        <w:t>Assessment</w:t>
      </w:r>
    </w:p>
    <w:p>
      <w:pPr>
        <w:pStyle w:val="BodyText"/>
        <w:spacing w:line="249" w:lineRule="auto" w:before="202"/>
        <w:ind w:left="120" w:right="116"/>
        <w:jc w:val="both"/>
      </w:pPr>
      <w:r>
        <w:rPr/>
        <w:t>The national average AQI of 111 indicates Moderate air quality. The median AQI of 92 and standard deviation of 71.4 show significant variability. This widespread pollution affects public health </w:t>
      </w:r>
      <w:r>
        <w:rPr/>
        <w:t>and requires coordinated action.</w:t>
      </w:r>
    </w:p>
    <w:p>
      <w:pPr>
        <w:pStyle w:val="BodyText"/>
      </w:pPr>
    </w:p>
    <w:p>
      <w:pPr>
        <w:pStyle w:val="BodyText"/>
        <w:spacing w:before="201"/>
      </w:pPr>
    </w:p>
    <w:p>
      <w:pPr>
        <w:pStyle w:val="Heading1"/>
      </w:pPr>
      <w:r>
        <w:rPr>
          <w:color w:val="2D5B89"/>
        </w:rPr>
        <w:t>Insight 2: State-Level </w:t>
      </w:r>
      <w:r>
        <w:rPr>
          <w:color w:val="2D5B89"/>
          <w:spacing w:val="-2"/>
        </w:rPr>
        <w:t>Disparities</w:t>
      </w:r>
    </w:p>
    <w:p>
      <w:pPr>
        <w:pStyle w:val="BodyText"/>
        <w:spacing w:line="249" w:lineRule="auto" w:before="201"/>
        <w:ind w:left="120" w:right="117"/>
        <w:jc w:val="both"/>
      </w:pPr>
      <w:r>
        <w:rPr/>
        <w:t>Delhi shows the highest mean AQI (206.4), while Mizoram shows the lowest (47.2). This 159.2 point difference indicates significant geographic disparities requiring localized strategies.</w:t>
      </w:r>
    </w:p>
    <w:p>
      <w:pPr>
        <w:pStyle w:val="BodyText"/>
      </w:pPr>
    </w:p>
    <w:p>
      <w:pPr>
        <w:pStyle w:val="BodyText"/>
        <w:spacing w:before="200"/>
      </w:pPr>
    </w:p>
    <w:p>
      <w:pPr>
        <w:pStyle w:val="Heading1"/>
      </w:pPr>
      <w:r>
        <w:rPr>
          <w:color w:val="2D5B89"/>
        </w:rPr>
        <w:t>Insight 3: Dominant </w:t>
      </w:r>
      <w:r>
        <w:rPr>
          <w:color w:val="2D5B89"/>
          <w:spacing w:val="-2"/>
        </w:rPr>
        <w:t>Pollutants</w:t>
      </w:r>
    </w:p>
    <w:p>
      <w:pPr>
        <w:pStyle w:val="BodyText"/>
        <w:spacing w:line="249" w:lineRule="auto" w:before="202"/>
        <w:ind w:left="120" w:right="117"/>
        <w:jc w:val="both"/>
      </w:pPr>
      <w:r>
        <w:rPr/>
        <w:t>'Pm10' is the most frequently observed pollutant (47.1% of observations), indicating a primary pollution concern requiring targeted source control measures.</w:t>
      </w:r>
    </w:p>
    <w:p>
      <w:pPr>
        <w:pStyle w:val="BodyText"/>
      </w:pPr>
    </w:p>
    <w:p>
      <w:pPr>
        <w:pStyle w:val="BodyText"/>
        <w:spacing w:before="200"/>
      </w:pPr>
    </w:p>
    <w:p>
      <w:pPr>
        <w:pStyle w:val="Heading1"/>
      </w:pPr>
      <w:r>
        <w:rPr>
          <w:color w:val="2D5B89"/>
        </w:rPr>
        <w:t>Insight 4: Monitoring </w:t>
      </w:r>
      <w:r>
        <w:rPr>
          <w:color w:val="2D5B89"/>
          <w:spacing w:val="-2"/>
        </w:rPr>
        <w:t>Infrastructure</w:t>
      </w:r>
    </w:p>
    <w:p>
      <w:pPr>
        <w:pStyle w:val="BodyText"/>
        <w:spacing w:line="249" w:lineRule="auto" w:before="202"/>
        <w:ind w:left="120" w:right="117"/>
        <w:jc w:val="both"/>
      </w:pPr>
      <w:r>
        <w:rPr/>
        <w:t>With 441072 monitoring stations across 291 areas, there is an average of 1515.7 stations per </w:t>
      </w:r>
      <w:r>
        <w:rPr/>
        <w:t>area. However, uneven distribution limits early-warning capability in undermonitored regions.</w:t>
      </w:r>
    </w:p>
    <w:p>
      <w:pPr>
        <w:pStyle w:val="BodyText"/>
        <w:spacing w:after="0" w:line="249" w:lineRule="auto"/>
        <w:jc w:val="both"/>
        <w:sectPr>
          <w:headerReference w:type="default" r:id="rId15"/>
          <w:pgSz w:w="12240" w:h="15840"/>
          <w:pgMar w:header="867" w:footer="0" w:top="1160" w:bottom="280" w:left="1440" w:right="1440"/>
        </w:sectPr>
      </w:pPr>
    </w:p>
    <w:p>
      <w:pPr>
        <w:pStyle w:val="BodyText"/>
        <w:spacing w:before="43"/>
      </w:pPr>
    </w:p>
    <w:p>
      <w:pPr>
        <w:pStyle w:val="Heading2"/>
        <w:numPr>
          <w:ilvl w:val="0"/>
          <w:numId w:val="2"/>
        </w:numPr>
        <w:tabs>
          <w:tab w:pos="342" w:val="left" w:leader="none"/>
        </w:tabs>
        <w:spacing w:line="240" w:lineRule="auto" w:before="0" w:after="0"/>
        <w:ind w:left="342" w:right="0" w:hanging="222"/>
        <w:jc w:val="left"/>
      </w:pPr>
      <w:r>
        <w:rPr/>
        <w:t>Establish Integrated Monitoring </w:t>
      </w:r>
      <w:r>
        <w:rPr>
          <w:spacing w:val="-2"/>
        </w:rPr>
        <w:t>Network</w:t>
      </w:r>
    </w:p>
    <w:p>
      <w:pPr>
        <w:pStyle w:val="BodyText"/>
        <w:spacing w:line="249" w:lineRule="auto" w:before="90"/>
        <w:ind w:left="120"/>
      </w:pPr>
      <w:r>
        <w:rPr/>
        <w:t>Expand real-time monitoring stations in undermonitored high-AQI areas. Implement public </w:t>
      </w:r>
      <w:r>
        <w:rPr/>
        <w:t>dashboards for transparency and early warning.</w:t>
      </w:r>
    </w:p>
    <w:p>
      <w:pPr>
        <w:pStyle w:val="BodyText"/>
      </w:pPr>
    </w:p>
    <w:p>
      <w:pPr>
        <w:pStyle w:val="BodyText"/>
        <w:spacing w:before="85"/>
      </w:pPr>
    </w:p>
    <w:p>
      <w:pPr>
        <w:pStyle w:val="Heading2"/>
        <w:numPr>
          <w:ilvl w:val="0"/>
          <w:numId w:val="2"/>
        </w:numPr>
        <w:tabs>
          <w:tab w:pos="342" w:val="left" w:leader="none"/>
        </w:tabs>
        <w:spacing w:line="240" w:lineRule="auto" w:before="0" w:after="0"/>
        <w:ind w:left="342" w:right="0" w:hanging="222"/>
        <w:jc w:val="left"/>
      </w:pPr>
      <w:r>
        <w:rPr/>
        <w:t>Implement Sector-Specific Emission </w:t>
      </w:r>
      <w:r>
        <w:rPr>
          <w:spacing w:val="-2"/>
        </w:rPr>
        <w:t>Controls</w:t>
      </w:r>
    </w:p>
    <w:p>
      <w:pPr>
        <w:pStyle w:val="BodyText"/>
        <w:spacing w:line="249" w:lineRule="auto" w:before="91"/>
        <w:ind w:left="120"/>
      </w:pPr>
      <w:r>
        <w:rPr/>
        <w:t>Target the dominant pollutant (Pm10). Differentiate strategies: vehicular emission standards, </w:t>
      </w:r>
      <w:r>
        <w:rPr/>
        <w:t>industrial stack monitoring, agricultural management.</w:t>
      </w:r>
    </w:p>
    <w:p>
      <w:pPr>
        <w:pStyle w:val="BodyText"/>
      </w:pPr>
    </w:p>
    <w:p>
      <w:pPr>
        <w:pStyle w:val="BodyText"/>
        <w:spacing w:before="85"/>
      </w:pPr>
    </w:p>
    <w:p>
      <w:pPr>
        <w:pStyle w:val="Heading2"/>
        <w:numPr>
          <w:ilvl w:val="0"/>
          <w:numId w:val="2"/>
        </w:numPr>
        <w:tabs>
          <w:tab w:pos="342" w:val="left" w:leader="none"/>
        </w:tabs>
        <w:spacing w:line="240" w:lineRule="auto" w:before="0" w:after="0"/>
        <w:ind w:left="342" w:right="0" w:hanging="222"/>
        <w:jc w:val="left"/>
      </w:pPr>
      <w:r>
        <w:rPr/>
        <w:t>Activate Seasonal Air Quality </w:t>
      </w:r>
      <w:r>
        <w:rPr>
          <w:spacing w:val="-2"/>
        </w:rPr>
        <w:t>Management</w:t>
      </w:r>
    </w:p>
    <w:p>
      <w:pPr>
        <w:pStyle w:val="BodyText"/>
        <w:spacing w:line="249" w:lineRule="auto" w:before="90"/>
        <w:ind w:left="120"/>
      </w:pPr>
      <w:r>
        <w:rPr/>
        <w:t>Develop seasonal protocols for high-AQI periods. Implement pre-season preparedness including traffic management, industrial regulation, and public alerts.</w:t>
      </w:r>
    </w:p>
    <w:p>
      <w:pPr>
        <w:pStyle w:val="BodyText"/>
      </w:pPr>
    </w:p>
    <w:p>
      <w:pPr>
        <w:pStyle w:val="BodyText"/>
        <w:spacing w:before="86"/>
      </w:pPr>
    </w:p>
    <w:p>
      <w:pPr>
        <w:pStyle w:val="Heading2"/>
        <w:numPr>
          <w:ilvl w:val="0"/>
          <w:numId w:val="2"/>
        </w:numPr>
        <w:tabs>
          <w:tab w:pos="342" w:val="left" w:leader="none"/>
        </w:tabs>
        <w:spacing w:line="240" w:lineRule="auto" w:before="0" w:after="0"/>
        <w:ind w:left="342" w:right="0" w:hanging="222"/>
        <w:jc w:val="left"/>
      </w:pPr>
      <w:r>
        <w:rPr/>
        <w:t>Prioritize High-AQI </w:t>
      </w:r>
      <w:r>
        <w:rPr>
          <w:spacing w:val="-2"/>
        </w:rPr>
        <w:t>States</w:t>
      </w:r>
    </w:p>
    <w:p>
      <w:pPr>
        <w:pStyle w:val="BodyText"/>
        <w:spacing w:line="249" w:lineRule="auto" w:before="90"/>
        <w:ind w:left="120"/>
      </w:pPr>
      <w:r>
        <w:rPr/>
        <w:t>Allocate</w:t>
      </w:r>
      <w:r>
        <w:rPr>
          <w:spacing w:val="37"/>
        </w:rPr>
        <w:t> </w:t>
      </w:r>
      <w:r>
        <w:rPr/>
        <w:t>resources</w:t>
      </w:r>
      <w:r>
        <w:rPr>
          <w:spacing w:val="37"/>
        </w:rPr>
        <w:t> </w:t>
      </w:r>
      <w:r>
        <w:rPr/>
        <w:t>proportionally</w:t>
      </w:r>
      <w:r>
        <w:rPr>
          <w:spacing w:val="37"/>
        </w:rPr>
        <w:t> </w:t>
      </w:r>
      <w:r>
        <w:rPr/>
        <w:t>to</w:t>
      </w:r>
      <w:r>
        <w:rPr>
          <w:spacing w:val="37"/>
        </w:rPr>
        <w:t> </w:t>
      </w:r>
      <w:r>
        <w:rPr/>
        <w:t>severity.</w:t>
      </w:r>
      <w:r>
        <w:rPr>
          <w:spacing w:val="37"/>
        </w:rPr>
        <w:t> </w:t>
      </w:r>
      <w:r>
        <w:rPr/>
        <w:t>Focus</w:t>
      </w:r>
      <w:r>
        <w:rPr>
          <w:spacing w:val="37"/>
        </w:rPr>
        <w:t> </w:t>
      </w:r>
      <w:r>
        <w:rPr/>
        <w:t>on</w:t>
      </w:r>
      <w:r>
        <w:rPr>
          <w:spacing w:val="37"/>
        </w:rPr>
        <w:t> </w:t>
      </w:r>
      <w:r>
        <w:rPr/>
        <w:t>Delhi</w:t>
      </w:r>
      <w:r>
        <w:rPr>
          <w:spacing w:val="37"/>
        </w:rPr>
        <w:t> </w:t>
      </w:r>
      <w:r>
        <w:rPr/>
        <w:t>and</w:t>
      </w:r>
      <w:r>
        <w:rPr>
          <w:spacing w:val="37"/>
        </w:rPr>
        <w:t> </w:t>
      </w:r>
      <w:r>
        <w:rPr/>
        <w:t>other</w:t>
      </w:r>
      <w:r>
        <w:rPr>
          <w:spacing w:val="37"/>
        </w:rPr>
        <w:t> </w:t>
      </w:r>
      <w:r>
        <w:rPr/>
        <w:t>high-AQI</w:t>
      </w:r>
      <w:r>
        <w:rPr>
          <w:spacing w:val="37"/>
        </w:rPr>
        <w:t> </w:t>
      </w:r>
      <w:r>
        <w:rPr/>
        <w:t>states</w:t>
      </w:r>
      <w:r>
        <w:rPr>
          <w:spacing w:val="37"/>
        </w:rPr>
        <w:t> </w:t>
      </w:r>
      <w:r>
        <w:rPr/>
        <w:t>for</w:t>
      </w:r>
      <w:r>
        <w:rPr>
          <w:spacing w:val="37"/>
        </w:rPr>
        <w:t> </w:t>
      </w:r>
      <w:r>
        <w:rPr/>
        <w:t>stricter emission standards.</w:t>
      </w:r>
    </w:p>
    <w:p>
      <w:pPr>
        <w:pStyle w:val="BodyText"/>
      </w:pPr>
    </w:p>
    <w:p>
      <w:pPr>
        <w:pStyle w:val="BodyText"/>
        <w:spacing w:before="85"/>
      </w:pPr>
    </w:p>
    <w:p>
      <w:pPr>
        <w:pStyle w:val="Heading2"/>
        <w:numPr>
          <w:ilvl w:val="0"/>
          <w:numId w:val="2"/>
        </w:numPr>
        <w:tabs>
          <w:tab w:pos="342" w:val="left" w:leader="none"/>
        </w:tabs>
        <w:spacing w:line="240" w:lineRule="auto" w:before="1" w:after="0"/>
        <w:ind w:left="342" w:right="0" w:hanging="222"/>
        <w:jc w:val="left"/>
      </w:pPr>
      <w:r>
        <w:rPr/>
        <w:t>Public Awareness &amp; Health </w:t>
      </w:r>
      <w:r>
        <w:rPr>
          <w:spacing w:val="-2"/>
        </w:rPr>
        <w:t>Protection</w:t>
      </w:r>
    </w:p>
    <w:p>
      <w:pPr>
        <w:pStyle w:val="BodyText"/>
        <w:spacing w:line="249" w:lineRule="auto" w:before="90"/>
        <w:ind w:left="120"/>
      </w:pPr>
      <w:r>
        <w:rPr/>
        <w:t>Communicate</w:t>
      </w:r>
      <w:r>
        <w:rPr>
          <w:spacing w:val="39"/>
        </w:rPr>
        <w:t> </w:t>
      </w:r>
      <w:r>
        <w:rPr/>
        <w:t>AQI</w:t>
      </w:r>
      <w:r>
        <w:rPr>
          <w:spacing w:val="39"/>
        </w:rPr>
        <w:t> </w:t>
      </w:r>
      <w:r>
        <w:rPr/>
        <w:t>levels</w:t>
      </w:r>
      <w:r>
        <w:rPr>
          <w:spacing w:val="39"/>
        </w:rPr>
        <w:t> </w:t>
      </w:r>
      <w:r>
        <w:rPr/>
        <w:t>and</w:t>
      </w:r>
      <w:r>
        <w:rPr>
          <w:spacing w:val="39"/>
        </w:rPr>
        <w:t> </w:t>
      </w:r>
      <w:r>
        <w:rPr/>
        <w:t>health</w:t>
      </w:r>
      <w:r>
        <w:rPr>
          <w:spacing w:val="39"/>
        </w:rPr>
        <w:t> </w:t>
      </w:r>
      <w:r>
        <w:rPr/>
        <w:t>impacts.</w:t>
      </w:r>
      <w:r>
        <w:rPr>
          <w:spacing w:val="39"/>
        </w:rPr>
        <w:t> </w:t>
      </w:r>
      <w:r>
        <w:rPr/>
        <w:t>Issue</w:t>
      </w:r>
      <w:r>
        <w:rPr>
          <w:spacing w:val="39"/>
        </w:rPr>
        <w:t> </w:t>
      </w:r>
      <w:r>
        <w:rPr/>
        <w:t>early</w:t>
      </w:r>
      <w:r>
        <w:rPr>
          <w:spacing w:val="39"/>
        </w:rPr>
        <w:t> </w:t>
      </w:r>
      <w:r>
        <w:rPr/>
        <w:t>warnings</w:t>
      </w:r>
      <w:r>
        <w:rPr>
          <w:spacing w:val="39"/>
        </w:rPr>
        <w:t> </w:t>
      </w:r>
      <w:r>
        <w:rPr/>
        <w:t>to</w:t>
      </w:r>
      <w:r>
        <w:rPr>
          <w:spacing w:val="39"/>
        </w:rPr>
        <w:t> </w:t>
      </w:r>
      <w:r>
        <w:rPr/>
        <w:t>vulnerable</w:t>
      </w:r>
      <w:r>
        <w:rPr>
          <w:spacing w:val="39"/>
        </w:rPr>
        <w:t> </w:t>
      </w:r>
      <w:r>
        <w:rPr/>
        <w:t>groups.</w:t>
      </w:r>
      <w:r>
        <w:rPr>
          <w:spacing w:val="39"/>
        </w:rPr>
        <w:t> </w:t>
      </w:r>
      <w:r>
        <w:rPr/>
        <w:t>Promote protective behaviors (masks, purifiers, indoor activities).</w:t>
      </w:r>
    </w:p>
    <w:p>
      <w:pPr>
        <w:pStyle w:val="BodyText"/>
      </w:pPr>
    </w:p>
    <w:p>
      <w:pPr>
        <w:pStyle w:val="BodyText"/>
        <w:spacing w:before="85"/>
      </w:pPr>
    </w:p>
    <w:p>
      <w:pPr>
        <w:pStyle w:val="Heading2"/>
        <w:numPr>
          <w:ilvl w:val="0"/>
          <w:numId w:val="2"/>
        </w:numPr>
        <w:tabs>
          <w:tab w:pos="342" w:val="left" w:leader="none"/>
        </w:tabs>
        <w:spacing w:line="240" w:lineRule="auto" w:before="0" w:after="0"/>
        <w:ind w:left="342" w:right="0" w:hanging="222"/>
        <w:jc w:val="left"/>
      </w:pPr>
      <w:r>
        <w:rPr/>
        <w:t>Conduct Source Apportionment </w:t>
      </w:r>
      <w:r>
        <w:rPr>
          <w:spacing w:val="-2"/>
        </w:rPr>
        <w:t>Studies</w:t>
      </w:r>
    </w:p>
    <w:p>
      <w:pPr>
        <w:pStyle w:val="BodyText"/>
        <w:spacing w:line="249" w:lineRule="auto" w:before="90"/>
        <w:ind w:left="120"/>
      </w:pPr>
      <w:r>
        <w:rPr/>
        <w:t>Determine</w:t>
      </w:r>
      <w:r>
        <w:rPr>
          <w:spacing w:val="71"/>
        </w:rPr>
        <w:t> </w:t>
      </w:r>
      <w:r>
        <w:rPr/>
        <w:t>contribution</w:t>
      </w:r>
      <w:r>
        <w:rPr>
          <w:spacing w:val="71"/>
        </w:rPr>
        <w:t> </w:t>
      </w:r>
      <w:r>
        <w:rPr/>
        <w:t>of</w:t>
      </w:r>
      <w:r>
        <w:rPr>
          <w:spacing w:val="71"/>
        </w:rPr>
        <w:t> </w:t>
      </w:r>
      <w:r>
        <w:rPr/>
        <w:t>different</w:t>
      </w:r>
      <w:r>
        <w:rPr>
          <w:spacing w:val="71"/>
        </w:rPr>
        <w:t> </w:t>
      </w:r>
      <w:r>
        <w:rPr/>
        <w:t>sources</w:t>
      </w:r>
      <w:r>
        <w:rPr>
          <w:spacing w:val="71"/>
        </w:rPr>
        <w:t> </w:t>
      </w:r>
      <w:r>
        <w:rPr/>
        <w:t>(traffic,</w:t>
      </w:r>
      <w:r>
        <w:rPr>
          <w:spacing w:val="71"/>
        </w:rPr>
        <w:t> </w:t>
      </w:r>
      <w:r>
        <w:rPr/>
        <w:t>industry,</w:t>
      </w:r>
      <w:r>
        <w:rPr>
          <w:spacing w:val="71"/>
        </w:rPr>
        <w:t> </w:t>
      </w:r>
      <w:r>
        <w:rPr/>
        <w:t>agriculture).</w:t>
      </w:r>
      <w:r>
        <w:rPr>
          <w:spacing w:val="71"/>
        </w:rPr>
        <w:t> </w:t>
      </w:r>
      <w:r>
        <w:rPr/>
        <w:t>Informs</w:t>
      </w:r>
      <w:r>
        <w:rPr>
          <w:spacing w:val="71"/>
        </w:rPr>
        <w:t> </w:t>
      </w:r>
      <w:r>
        <w:rPr/>
        <w:t>highest-</w:t>
      </w:r>
      <w:r>
        <w:rPr/>
        <w:t>impact interventions specific to each region.</w:t>
      </w:r>
    </w:p>
    <w:p>
      <w:pPr>
        <w:pStyle w:val="BodyText"/>
      </w:pPr>
    </w:p>
    <w:p>
      <w:pPr>
        <w:pStyle w:val="BodyText"/>
        <w:spacing w:before="86"/>
      </w:pPr>
    </w:p>
    <w:p>
      <w:pPr>
        <w:pStyle w:val="Heading2"/>
        <w:numPr>
          <w:ilvl w:val="0"/>
          <w:numId w:val="2"/>
        </w:numPr>
        <w:tabs>
          <w:tab w:pos="342" w:val="left" w:leader="none"/>
        </w:tabs>
        <w:spacing w:line="240" w:lineRule="auto" w:before="0" w:after="0"/>
        <w:ind w:left="342" w:right="0" w:hanging="222"/>
        <w:jc w:val="left"/>
      </w:pPr>
      <w:r>
        <w:rPr/>
        <w:t>Regional </w:t>
      </w:r>
      <w:r>
        <w:rPr>
          <w:spacing w:val="-2"/>
        </w:rPr>
        <w:t>Coordination</w:t>
      </w:r>
    </w:p>
    <w:p>
      <w:pPr>
        <w:pStyle w:val="BodyText"/>
        <w:spacing w:line="249" w:lineRule="auto" w:before="90"/>
        <w:ind w:left="120"/>
      </w:pPr>
      <w:r>
        <w:rPr/>
        <w:t>Implement</w:t>
      </w:r>
      <w:r>
        <w:rPr>
          <w:spacing w:val="27"/>
        </w:rPr>
        <w:t> </w:t>
      </w:r>
      <w:r>
        <w:rPr/>
        <w:t>inter-state</w:t>
      </w:r>
      <w:r>
        <w:rPr>
          <w:spacing w:val="27"/>
        </w:rPr>
        <w:t> </w:t>
      </w:r>
      <w:r>
        <w:rPr/>
        <w:t>collaboration</w:t>
      </w:r>
      <w:r>
        <w:rPr>
          <w:spacing w:val="27"/>
        </w:rPr>
        <w:t> </w:t>
      </w:r>
      <w:r>
        <w:rPr/>
        <w:t>mechanisms.</w:t>
      </w:r>
      <w:r>
        <w:rPr>
          <w:spacing w:val="27"/>
        </w:rPr>
        <w:t> </w:t>
      </w:r>
      <w:r>
        <w:rPr/>
        <w:t>Air</w:t>
      </w:r>
      <w:r>
        <w:rPr>
          <w:spacing w:val="27"/>
        </w:rPr>
        <w:t> </w:t>
      </w:r>
      <w:r>
        <w:rPr/>
        <w:t>pollution</w:t>
      </w:r>
      <w:r>
        <w:rPr>
          <w:spacing w:val="27"/>
        </w:rPr>
        <w:t> </w:t>
      </w:r>
      <w:r>
        <w:rPr/>
        <w:t>crosses</w:t>
      </w:r>
      <w:r>
        <w:rPr>
          <w:spacing w:val="27"/>
        </w:rPr>
        <w:t> </w:t>
      </w:r>
      <w:r>
        <w:rPr/>
        <w:t>state</w:t>
      </w:r>
      <w:r>
        <w:rPr>
          <w:spacing w:val="27"/>
        </w:rPr>
        <w:t> </w:t>
      </w:r>
      <w:r>
        <w:rPr/>
        <w:t>boundaries;</w:t>
      </w:r>
      <w:r>
        <w:rPr>
          <w:spacing w:val="27"/>
        </w:rPr>
        <w:t> </w:t>
      </w:r>
      <w:r>
        <w:rPr/>
        <w:t>coordinated policies strengthen response.</w:t>
      </w:r>
    </w:p>
    <w:p>
      <w:pPr>
        <w:pStyle w:val="BodyText"/>
        <w:spacing w:after="0" w:line="249" w:lineRule="auto"/>
        <w:sectPr>
          <w:headerReference w:type="default" r:id="rId16"/>
          <w:pgSz w:w="12240" w:h="15840"/>
          <w:pgMar w:header="867" w:footer="0" w:top="1160" w:bottom="280" w:left="1440" w:right="1440"/>
        </w:sectPr>
      </w:pPr>
    </w:p>
    <w:p>
      <w:pPr>
        <w:pStyle w:val="Heading1"/>
        <w:spacing w:before="275"/>
      </w:pPr>
      <w:r>
        <w:rPr>
          <w:color w:val="2D5B89"/>
        </w:rPr>
        <w:t>Project </w:t>
      </w:r>
      <w:r>
        <w:rPr>
          <w:color w:val="2D5B89"/>
          <w:spacing w:val="-2"/>
        </w:rPr>
        <w:t>Limitations</w:t>
      </w:r>
    </w:p>
    <w:p>
      <w:pPr>
        <w:pStyle w:val="ListParagraph"/>
        <w:numPr>
          <w:ilvl w:val="1"/>
          <w:numId w:val="2"/>
        </w:numPr>
        <w:tabs>
          <w:tab w:pos="245" w:val="left" w:leader="none"/>
        </w:tabs>
        <w:spacing w:line="240" w:lineRule="auto" w:before="202" w:after="0"/>
        <w:ind w:left="245" w:right="0" w:hanging="125"/>
        <w:jc w:val="left"/>
        <w:rPr>
          <w:sz w:val="20"/>
        </w:rPr>
      </w:pPr>
      <w:r>
        <w:rPr>
          <w:sz w:val="20"/>
        </w:rPr>
        <w:t>Data Availability: Some areas have incomplete temporal coverage; monitoring density varies by </w:t>
      </w:r>
      <w:r>
        <w:rPr>
          <w:spacing w:val="-2"/>
          <w:sz w:val="20"/>
        </w:rPr>
        <w:t>state.</w:t>
      </w:r>
    </w:p>
    <w:p>
      <w:pPr>
        <w:pStyle w:val="ListParagraph"/>
        <w:numPr>
          <w:ilvl w:val="1"/>
          <w:numId w:val="2"/>
        </w:numPr>
        <w:tabs>
          <w:tab w:pos="256" w:val="left" w:leader="none"/>
        </w:tabs>
        <w:spacing w:line="249" w:lineRule="auto" w:before="210" w:after="0"/>
        <w:ind w:left="120" w:right="117" w:firstLine="0"/>
        <w:jc w:val="left"/>
        <w:rPr>
          <w:sz w:val="20"/>
        </w:rPr>
      </w:pPr>
      <w:r>
        <w:rPr>
          <w:sz w:val="20"/>
        </w:rPr>
        <w:t>External Factors: Dataset lacks meteorological data (temperature, wind, humidity) which </w:t>
      </w:r>
      <w:r>
        <w:rPr>
          <w:sz w:val="20"/>
        </w:rPr>
        <w:t>significantly influence AQI.</w:t>
      </w:r>
    </w:p>
    <w:p>
      <w:pPr>
        <w:pStyle w:val="ListParagraph"/>
        <w:numPr>
          <w:ilvl w:val="1"/>
          <w:numId w:val="2"/>
        </w:numPr>
        <w:tabs>
          <w:tab w:pos="245" w:val="left" w:leader="none"/>
        </w:tabs>
        <w:spacing w:line="240" w:lineRule="auto" w:before="201" w:after="0"/>
        <w:ind w:left="245" w:right="0" w:hanging="125"/>
        <w:jc w:val="left"/>
        <w:rPr>
          <w:sz w:val="20"/>
        </w:rPr>
      </w:pPr>
      <w:r>
        <w:rPr>
          <w:sz w:val="20"/>
        </w:rPr>
        <w:t>Emission Sources: No direct information on traffic, industrial, or agricultural emission </w:t>
      </w:r>
      <w:r>
        <w:rPr>
          <w:spacing w:val="-2"/>
          <w:sz w:val="20"/>
        </w:rPr>
        <w:t>sources.</w:t>
      </w:r>
    </w:p>
    <w:p>
      <w:pPr>
        <w:pStyle w:val="ListParagraph"/>
        <w:numPr>
          <w:ilvl w:val="1"/>
          <w:numId w:val="2"/>
        </w:numPr>
        <w:tabs>
          <w:tab w:pos="266" w:val="left" w:leader="none"/>
        </w:tabs>
        <w:spacing w:line="249" w:lineRule="auto" w:before="210" w:after="0"/>
        <w:ind w:left="120" w:right="117" w:firstLine="0"/>
        <w:jc w:val="left"/>
        <w:rPr>
          <w:sz w:val="20"/>
        </w:rPr>
      </w:pPr>
      <w:r>
        <w:rPr>
          <w:sz w:val="20"/>
        </w:rPr>
        <w:t>Causal Analysis: Analysis identifies patterns and correlations, not causation. Source </w:t>
      </w:r>
      <w:r>
        <w:rPr>
          <w:sz w:val="20"/>
        </w:rPr>
        <w:t>apportionment requires specialized modeling.</w:t>
      </w:r>
    </w:p>
    <w:p>
      <w:pPr>
        <w:pStyle w:val="ListParagraph"/>
        <w:numPr>
          <w:ilvl w:val="1"/>
          <w:numId w:val="2"/>
        </w:numPr>
        <w:tabs>
          <w:tab w:pos="303" w:val="left" w:leader="none"/>
        </w:tabs>
        <w:spacing w:line="249" w:lineRule="auto" w:before="202" w:after="0"/>
        <w:ind w:left="120" w:right="116" w:firstLine="0"/>
        <w:jc w:val="left"/>
        <w:rPr>
          <w:sz w:val="20"/>
        </w:rPr>
      </w:pPr>
      <w:r>
        <w:rPr>
          <w:sz w:val="20"/>
        </w:rPr>
        <w:t>Prediction:</w:t>
      </w:r>
      <w:r>
        <w:rPr>
          <w:spacing w:val="40"/>
          <w:sz w:val="20"/>
        </w:rPr>
        <w:t> </w:t>
      </w:r>
      <w:r>
        <w:rPr>
          <w:sz w:val="20"/>
        </w:rPr>
        <w:t>This</w:t>
      </w:r>
      <w:r>
        <w:rPr>
          <w:spacing w:val="40"/>
          <w:sz w:val="20"/>
        </w:rPr>
        <w:t> </w:t>
      </w:r>
      <w:r>
        <w:rPr>
          <w:sz w:val="20"/>
        </w:rPr>
        <w:t>is</w:t>
      </w:r>
      <w:r>
        <w:rPr>
          <w:spacing w:val="40"/>
          <w:sz w:val="20"/>
        </w:rPr>
        <w:t> </w:t>
      </w:r>
      <w:r>
        <w:rPr>
          <w:sz w:val="20"/>
        </w:rPr>
        <w:t>an</w:t>
      </w:r>
      <w:r>
        <w:rPr>
          <w:spacing w:val="40"/>
          <w:sz w:val="20"/>
        </w:rPr>
        <w:t> </w:t>
      </w:r>
      <w:r>
        <w:rPr>
          <w:sz w:val="20"/>
        </w:rPr>
        <w:t>analysis-focused</w:t>
      </w:r>
      <w:r>
        <w:rPr>
          <w:spacing w:val="40"/>
          <w:sz w:val="20"/>
        </w:rPr>
        <w:t> </w:t>
      </w:r>
      <w:r>
        <w:rPr>
          <w:sz w:val="20"/>
        </w:rPr>
        <w:t>project;</w:t>
      </w:r>
      <w:r>
        <w:rPr>
          <w:spacing w:val="40"/>
          <w:sz w:val="20"/>
        </w:rPr>
        <w:t> </w:t>
      </w:r>
      <w:r>
        <w:rPr>
          <w:sz w:val="20"/>
        </w:rPr>
        <w:t>no</w:t>
      </w:r>
      <w:r>
        <w:rPr>
          <w:spacing w:val="40"/>
          <w:sz w:val="20"/>
        </w:rPr>
        <w:t> </w:t>
      </w:r>
      <w:r>
        <w:rPr>
          <w:sz w:val="20"/>
        </w:rPr>
        <w:t>prediction</w:t>
      </w:r>
      <w:r>
        <w:rPr>
          <w:spacing w:val="40"/>
          <w:sz w:val="20"/>
        </w:rPr>
        <w:t> </w:t>
      </w:r>
      <w:r>
        <w:rPr>
          <w:sz w:val="20"/>
        </w:rPr>
        <w:t>model</w:t>
      </w:r>
      <w:r>
        <w:rPr>
          <w:spacing w:val="40"/>
          <w:sz w:val="20"/>
        </w:rPr>
        <w:t> </w:t>
      </w:r>
      <w:r>
        <w:rPr>
          <w:sz w:val="20"/>
        </w:rPr>
        <w:t>is</w:t>
      </w:r>
      <w:r>
        <w:rPr>
          <w:spacing w:val="40"/>
          <w:sz w:val="20"/>
        </w:rPr>
        <w:t> </w:t>
      </w:r>
      <w:r>
        <w:rPr>
          <w:sz w:val="20"/>
        </w:rPr>
        <w:t>included</w:t>
      </w:r>
      <w:r>
        <w:rPr>
          <w:spacing w:val="40"/>
          <w:sz w:val="20"/>
        </w:rPr>
        <w:t> </w:t>
      </w:r>
      <w:r>
        <w:rPr>
          <w:sz w:val="20"/>
        </w:rPr>
        <w:t>(would</w:t>
      </w:r>
      <w:r>
        <w:rPr>
          <w:spacing w:val="40"/>
          <w:sz w:val="20"/>
        </w:rPr>
        <w:t> </w:t>
      </w:r>
      <w:r>
        <w:rPr>
          <w:sz w:val="20"/>
        </w:rPr>
        <w:t>require additional meteorological features).</w:t>
      </w:r>
    </w:p>
    <w:p>
      <w:pPr>
        <w:pStyle w:val="ListParagraph"/>
        <w:numPr>
          <w:ilvl w:val="1"/>
          <w:numId w:val="2"/>
        </w:numPr>
        <w:tabs>
          <w:tab w:pos="245" w:val="left" w:leader="none"/>
        </w:tabs>
        <w:spacing w:line="240" w:lineRule="auto" w:before="202" w:after="0"/>
        <w:ind w:left="245" w:right="0" w:hanging="125"/>
        <w:jc w:val="left"/>
        <w:rPr>
          <w:sz w:val="20"/>
        </w:rPr>
      </w:pPr>
      <w:r>
        <w:rPr>
          <w:sz w:val="20"/>
        </w:rPr>
        <w:t>Geographic Resolution: Area-level aggregation masks micro-level variations within </w:t>
      </w:r>
      <w:r>
        <w:rPr>
          <w:spacing w:val="-2"/>
          <w:sz w:val="20"/>
        </w:rPr>
        <w:t>cities.</w:t>
      </w:r>
    </w:p>
    <w:p>
      <w:pPr>
        <w:pStyle w:val="BodyText"/>
      </w:pPr>
    </w:p>
    <w:p>
      <w:pPr>
        <w:pStyle w:val="BodyText"/>
      </w:pPr>
    </w:p>
    <w:p>
      <w:pPr>
        <w:pStyle w:val="BodyText"/>
        <w:spacing w:before="50"/>
      </w:pPr>
    </w:p>
    <w:p>
      <w:pPr>
        <w:pStyle w:val="Heading1"/>
      </w:pPr>
      <w:r>
        <w:rPr>
          <w:color w:val="2D5B89"/>
          <w:spacing w:val="-2"/>
        </w:rPr>
        <w:t>Conclusion</w:t>
      </w:r>
    </w:p>
    <w:p>
      <w:pPr>
        <w:pStyle w:val="BodyText"/>
        <w:spacing w:line="249" w:lineRule="auto" w:before="202"/>
        <w:ind w:left="120" w:right="116"/>
        <w:jc w:val="both"/>
      </w:pPr>
      <w:r>
        <w:rPr/>
        <w:t>This comprehensive analysis of India's air quality (2023-2025) reveals significant challenges </w:t>
      </w:r>
      <w:r>
        <w:rPr/>
        <w:t>requiring urgent, coordinated action. With an average AQI of 111 and substantial geographic disparities, air pollution poses risks to public health, agriculture, and economic productivity. The analysis identifies high-AQI hotspots, seasonal patterns, monitoring gaps, and dominant pollutants. These findings support evidence-based policy, resource allocation, and intervention strategies. The interactive dashboard enables ongoing monitoring and assessment. Future work should integrate meteorological data for deeper causality analysis and develop predictive models for proactive management. Regional coordination and sector-specific interventions, informed by this analysis, are essential for sustainable air quality improvement.</w:t>
      </w:r>
    </w:p>
    <w:p>
      <w:pPr>
        <w:pStyle w:val="BodyText"/>
      </w:pPr>
    </w:p>
    <w:p>
      <w:pPr>
        <w:pStyle w:val="BodyText"/>
        <w:spacing w:before="178"/>
      </w:pPr>
    </w:p>
    <w:p>
      <w:pPr>
        <w:spacing w:before="0"/>
        <w:ind w:left="0" w:right="0" w:firstLine="0"/>
        <w:jc w:val="center"/>
        <w:rPr>
          <w:sz w:val="18"/>
        </w:rPr>
      </w:pPr>
      <w:r>
        <w:rPr>
          <w:color w:val="808080"/>
          <w:sz w:val="18"/>
        </w:rPr>
        <w:t>End of Report | Generated: September 18, 2026 at </w:t>
      </w:r>
      <w:r>
        <w:rPr>
          <w:color w:val="808080"/>
          <w:spacing w:val="-2"/>
          <w:sz w:val="18"/>
        </w:rPr>
        <w:t>16:28:06</w:t>
      </w:r>
    </w:p>
    <w:sectPr>
      <w:headerReference w:type="default" r:id="rId17"/>
      <w:pgSz w:w="12240" w:h="15840"/>
      <w:pgMar w:header="867" w:footer="0" w:top="1160" w:bottom="280" w:left="1440" w:right="14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Symbol">
    <w:altName w:val="Symbol"/>
    <w:charset w:val="2"/>
    <w:family w:val="decorative"/>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198208">
              <wp:simplePos x="0" y="0"/>
              <wp:positionH relativeFrom="page">
                <wp:posOffset>977900</wp:posOffset>
              </wp:positionH>
              <wp:positionV relativeFrom="page">
                <wp:posOffset>537542</wp:posOffset>
              </wp:positionV>
              <wp:extent cx="1715770" cy="224154"/>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715770" cy="224154"/>
                      </a:xfrm>
                      <a:prstGeom prst="rect">
                        <a:avLst/>
                      </a:prstGeom>
                    </wps:spPr>
                    <wps:txbx>
                      <w:txbxContent>
                        <w:p>
                          <w:pPr>
                            <w:spacing w:before="11"/>
                            <w:ind w:left="20" w:right="0" w:firstLine="0"/>
                            <w:jc w:val="left"/>
                            <w:rPr>
                              <w:rFonts w:ascii="Arial"/>
                              <w:b/>
                              <w:sz w:val="28"/>
                            </w:rPr>
                          </w:pPr>
                          <w:r>
                            <w:rPr>
                              <w:rFonts w:ascii="Arial"/>
                              <w:b/>
                              <w:color w:val="1F4D77"/>
                              <w:sz w:val="28"/>
                            </w:rPr>
                            <w:t>Executive </w:t>
                          </w:r>
                          <w:r>
                            <w:rPr>
                              <w:rFonts w:ascii="Arial"/>
                              <w:b/>
                              <w:color w:val="1F4D77"/>
                              <w:spacing w:val="-2"/>
                              <w:sz w:val="28"/>
                            </w:rPr>
                            <w:t>Summary</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7pt;margin-top:42.326172pt;width:135.1pt;height:17.650pt;mso-position-horizontal-relative:page;mso-position-vertical-relative:page;z-index:-16118272" type="#_x0000_t202" id="docshape1" filled="false" stroked="false">
              <v:textbox inset="0,0,0,0">
                <w:txbxContent>
                  <w:p>
                    <w:pPr>
                      <w:spacing w:before="11"/>
                      <w:ind w:left="20" w:right="0" w:firstLine="0"/>
                      <w:jc w:val="left"/>
                      <w:rPr>
                        <w:rFonts w:ascii="Arial"/>
                        <w:b/>
                        <w:sz w:val="28"/>
                      </w:rPr>
                    </w:pPr>
                    <w:r>
                      <w:rPr>
                        <w:rFonts w:ascii="Arial"/>
                        <w:b/>
                        <w:color w:val="1F4D77"/>
                        <w:sz w:val="28"/>
                      </w:rPr>
                      <w:t>Executive </w:t>
                    </w:r>
                    <w:r>
                      <w:rPr>
                        <w:rFonts w:ascii="Arial"/>
                        <w:b/>
                        <w:color w:val="1F4D77"/>
                        <w:spacing w:val="-2"/>
                        <w:sz w:val="28"/>
                      </w:rPr>
                      <w:t>Summary</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198720">
              <wp:simplePos x="0" y="0"/>
              <wp:positionH relativeFrom="page">
                <wp:posOffset>977900</wp:posOffset>
              </wp:positionH>
              <wp:positionV relativeFrom="page">
                <wp:posOffset>537542</wp:posOffset>
              </wp:positionV>
              <wp:extent cx="2801620" cy="224154"/>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801620" cy="224154"/>
                      </a:xfrm>
                      <a:prstGeom prst="rect">
                        <a:avLst/>
                      </a:prstGeom>
                    </wps:spPr>
                    <wps:txbx>
                      <w:txbxContent>
                        <w:p>
                          <w:pPr>
                            <w:spacing w:before="11"/>
                            <w:ind w:left="20" w:right="0" w:firstLine="0"/>
                            <w:jc w:val="left"/>
                            <w:rPr>
                              <w:rFonts w:ascii="Arial"/>
                              <w:b/>
                              <w:sz w:val="28"/>
                            </w:rPr>
                          </w:pPr>
                          <w:r>
                            <w:rPr>
                              <w:rFonts w:ascii="Arial"/>
                              <w:b/>
                              <w:color w:val="1F4D77"/>
                              <w:sz w:val="28"/>
                            </w:rPr>
                            <w:t>Project Overview &amp; </w:t>
                          </w:r>
                          <w:r>
                            <w:rPr>
                              <w:rFonts w:ascii="Arial"/>
                              <w:b/>
                              <w:color w:val="1F4D77"/>
                              <w:spacing w:val="-2"/>
                              <w:sz w:val="28"/>
                            </w:rPr>
                            <w:t>Methodology</w:t>
                          </w:r>
                        </w:p>
                      </w:txbxContent>
                    </wps:txbx>
                    <wps:bodyPr wrap="square" lIns="0" tIns="0" rIns="0" bIns="0" rtlCol="0">
                      <a:noAutofit/>
                    </wps:bodyPr>
                  </wps:wsp>
                </a:graphicData>
              </a:graphic>
            </wp:anchor>
          </w:drawing>
        </mc:Choice>
        <mc:Fallback>
          <w:pict>
            <v:shape style="position:absolute;margin-left:77pt;margin-top:42.326172pt;width:220.6pt;height:17.650pt;mso-position-horizontal-relative:page;mso-position-vertical-relative:page;z-index:-16117760" type="#_x0000_t202" id="docshape2" filled="false" stroked="false">
              <v:textbox inset="0,0,0,0">
                <w:txbxContent>
                  <w:p>
                    <w:pPr>
                      <w:spacing w:before="11"/>
                      <w:ind w:left="20" w:right="0" w:firstLine="0"/>
                      <w:jc w:val="left"/>
                      <w:rPr>
                        <w:rFonts w:ascii="Arial"/>
                        <w:b/>
                        <w:sz w:val="28"/>
                      </w:rPr>
                    </w:pPr>
                    <w:r>
                      <w:rPr>
                        <w:rFonts w:ascii="Arial"/>
                        <w:b/>
                        <w:color w:val="1F4D77"/>
                        <w:sz w:val="28"/>
                      </w:rPr>
                      <w:t>Project Overview &amp; </w:t>
                    </w:r>
                    <w:r>
                      <w:rPr>
                        <w:rFonts w:ascii="Arial"/>
                        <w:b/>
                        <w:color w:val="1F4D77"/>
                        <w:spacing w:val="-2"/>
                        <w:sz w:val="28"/>
                      </w:rPr>
                      <w:t>Methodology</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199232">
              <wp:simplePos x="0" y="0"/>
              <wp:positionH relativeFrom="page">
                <wp:posOffset>977900</wp:posOffset>
              </wp:positionH>
              <wp:positionV relativeFrom="page">
                <wp:posOffset>537542</wp:posOffset>
              </wp:positionV>
              <wp:extent cx="2772410" cy="224154"/>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2772410" cy="224154"/>
                      </a:xfrm>
                      <a:prstGeom prst="rect">
                        <a:avLst/>
                      </a:prstGeom>
                    </wps:spPr>
                    <wps:txbx>
                      <w:txbxContent>
                        <w:p>
                          <w:pPr>
                            <w:spacing w:before="11"/>
                            <w:ind w:left="20" w:right="0" w:firstLine="0"/>
                            <w:jc w:val="left"/>
                            <w:rPr>
                              <w:rFonts w:ascii="Arial"/>
                              <w:b/>
                              <w:sz w:val="28"/>
                            </w:rPr>
                          </w:pPr>
                          <w:r>
                            <w:rPr>
                              <w:rFonts w:ascii="Arial"/>
                              <w:b/>
                              <w:color w:val="1F4D77"/>
                              <w:sz w:val="28"/>
                            </w:rPr>
                            <w:t>Exploratory Data Analysis </w:t>
                          </w:r>
                          <w:r>
                            <w:rPr>
                              <w:rFonts w:ascii="Arial"/>
                              <w:b/>
                              <w:color w:val="1F4D77"/>
                              <w:spacing w:val="-2"/>
                              <w:sz w:val="28"/>
                            </w:rPr>
                            <w:t>(EDA)</w:t>
                          </w:r>
                        </w:p>
                      </w:txbxContent>
                    </wps:txbx>
                    <wps:bodyPr wrap="square" lIns="0" tIns="0" rIns="0" bIns="0" rtlCol="0">
                      <a:noAutofit/>
                    </wps:bodyPr>
                  </wps:wsp>
                </a:graphicData>
              </a:graphic>
            </wp:anchor>
          </w:drawing>
        </mc:Choice>
        <mc:Fallback>
          <w:pict>
            <v:shape style="position:absolute;margin-left:77pt;margin-top:42.326172pt;width:218.3pt;height:17.650pt;mso-position-horizontal-relative:page;mso-position-vertical-relative:page;z-index:-16117248" type="#_x0000_t202" id="docshape3" filled="false" stroked="false">
              <v:textbox inset="0,0,0,0">
                <w:txbxContent>
                  <w:p>
                    <w:pPr>
                      <w:spacing w:before="11"/>
                      <w:ind w:left="20" w:right="0" w:firstLine="0"/>
                      <w:jc w:val="left"/>
                      <w:rPr>
                        <w:rFonts w:ascii="Arial"/>
                        <w:b/>
                        <w:sz w:val="28"/>
                      </w:rPr>
                    </w:pPr>
                    <w:r>
                      <w:rPr>
                        <w:rFonts w:ascii="Arial"/>
                        <w:b/>
                        <w:color w:val="1F4D77"/>
                        <w:sz w:val="28"/>
                      </w:rPr>
                      <w:t>Exploratory Data Analysis </w:t>
                    </w:r>
                    <w:r>
                      <w:rPr>
                        <w:rFonts w:ascii="Arial"/>
                        <w:b/>
                        <w:color w:val="1F4D77"/>
                        <w:spacing w:val="-2"/>
                        <w:sz w:val="28"/>
                      </w:rPr>
                      <w:t>(EDA)</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199744">
              <wp:simplePos x="0" y="0"/>
              <wp:positionH relativeFrom="page">
                <wp:posOffset>977900</wp:posOffset>
              </wp:positionH>
              <wp:positionV relativeFrom="page">
                <wp:posOffset>537542</wp:posOffset>
              </wp:positionV>
              <wp:extent cx="1764664" cy="224154"/>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764664" cy="224154"/>
                      </a:xfrm>
                      <a:prstGeom prst="rect">
                        <a:avLst/>
                      </a:prstGeom>
                    </wps:spPr>
                    <wps:txbx>
                      <w:txbxContent>
                        <w:p>
                          <w:pPr>
                            <w:spacing w:before="11"/>
                            <w:ind w:left="20" w:right="0" w:firstLine="0"/>
                            <w:jc w:val="left"/>
                            <w:rPr>
                              <w:rFonts w:ascii="Arial"/>
                              <w:b/>
                              <w:sz w:val="28"/>
                            </w:rPr>
                          </w:pPr>
                          <w:r>
                            <w:rPr>
                              <w:rFonts w:ascii="Arial"/>
                              <w:b/>
                              <w:color w:val="1F4D77"/>
                              <w:sz w:val="28"/>
                            </w:rPr>
                            <w:t>Time Trend </w:t>
                          </w:r>
                          <w:r>
                            <w:rPr>
                              <w:rFonts w:ascii="Arial"/>
                              <w:b/>
                              <w:color w:val="1F4D77"/>
                              <w:spacing w:val="-2"/>
                              <w:sz w:val="28"/>
                            </w:rPr>
                            <w:t>Analysis</w:t>
                          </w:r>
                        </w:p>
                      </w:txbxContent>
                    </wps:txbx>
                    <wps:bodyPr wrap="square" lIns="0" tIns="0" rIns="0" bIns="0" rtlCol="0">
                      <a:noAutofit/>
                    </wps:bodyPr>
                  </wps:wsp>
                </a:graphicData>
              </a:graphic>
            </wp:anchor>
          </w:drawing>
        </mc:Choice>
        <mc:Fallback>
          <w:pict>
            <v:shape style="position:absolute;margin-left:77pt;margin-top:42.326172pt;width:138.950pt;height:17.650pt;mso-position-horizontal-relative:page;mso-position-vertical-relative:page;z-index:-16116736" type="#_x0000_t202" id="docshape4" filled="false" stroked="false">
              <v:textbox inset="0,0,0,0">
                <w:txbxContent>
                  <w:p>
                    <w:pPr>
                      <w:spacing w:before="11"/>
                      <w:ind w:left="20" w:right="0" w:firstLine="0"/>
                      <w:jc w:val="left"/>
                      <w:rPr>
                        <w:rFonts w:ascii="Arial"/>
                        <w:b/>
                        <w:sz w:val="28"/>
                      </w:rPr>
                    </w:pPr>
                    <w:r>
                      <w:rPr>
                        <w:rFonts w:ascii="Arial"/>
                        <w:b/>
                        <w:color w:val="1F4D77"/>
                        <w:sz w:val="28"/>
                      </w:rPr>
                      <w:t>Time Trend </w:t>
                    </w:r>
                    <w:r>
                      <w:rPr>
                        <w:rFonts w:ascii="Arial"/>
                        <w:b/>
                        <w:color w:val="1F4D77"/>
                        <w:spacing w:val="-2"/>
                        <w:sz w:val="28"/>
                      </w:rPr>
                      <w:t>Analysis</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200256">
              <wp:simplePos x="0" y="0"/>
              <wp:positionH relativeFrom="page">
                <wp:posOffset>977900</wp:posOffset>
              </wp:positionH>
              <wp:positionV relativeFrom="page">
                <wp:posOffset>537542</wp:posOffset>
              </wp:positionV>
              <wp:extent cx="1755139" cy="224154"/>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755139" cy="224154"/>
                      </a:xfrm>
                      <a:prstGeom prst="rect">
                        <a:avLst/>
                      </a:prstGeom>
                    </wps:spPr>
                    <wps:txbx>
                      <w:txbxContent>
                        <w:p>
                          <w:pPr>
                            <w:spacing w:before="11"/>
                            <w:ind w:left="20" w:right="0" w:firstLine="0"/>
                            <w:jc w:val="left"/>
                            <w:rPr>
                              <w:rFonts w:ascii="Arial"/>
                              <w:b/>
                              <w:sz w:val="28"/>
                            </w:rPr>
                          </w:pPr>
                          <w:r>
                            <w:rPr>
                              <w:rFonts w:ascii="Arial"/>
                              <w:b/>
                              <w:color w:val="1F4D77"/>
                              <w:sz w:val="28"/>
                            </w:rPr>
                            <w:t>State-Level </w:t>
                          </w:r>
                          <w:r>
                            <w:rPr>
                              <w:rFonts w:ascii="Arial"/>
                              <w:b/>
                              <w:color w:val="1F4D77"/>
                              <w:spacing w:val="-2"/>
                              <w:sz w:val="28"/>
                            </w:rPr>
                            <w:t>Analysis</w:t>
                          </w:r>
                        </w:p>
                      </w:txbxContent>
                    </wps:txbx>
                    <wps:bodyPr wrap="square" lIns="0" tIns="0" rIns="0" bIns="0" rtlCol="0">
                      <a:noAutofit/>
                    </wps:bodyPr>
                  </wps:wsp>
                </a:graphicData>
              </a:graphic>
            </wp:anchor>
          </w:drawing>
        </mc:Choice>
        <mc:Fallback>
          <w:pict>
            <v:shape style="position:absolute;margin-left:77pt;margin-top:42.326172pt;width:138.2pt;height:17.650pt;mso-position-horizontal-relative:page;mso-position-vertical-relative:page;z-index:-16116224" type="#_x0000_t202" id="docshape5" filled="false" stroked="false">
              <v:textbox inset="0,0,0,0">
                <w:txbxContent>
                  <w:p>
                    <w:pPr>
                      <w:spacing w:before="11"/>
                      <w:ind w:left="20" w:right="0" w:firstLine="0"/>
                      <w:jc w:val="left"/>
                      <w:rPr>
                        <w:rFonts w:ascii="Arial"/>
                        <w:b/>
                        <w:sz w:val="28"/>
                      </w:rPr>
                    </w:pPr>
                    <w:r>
                      <w:rPr>
                        <w:rFonts w:ascii="Arial"/>
                        <w:b/>
                        <w:color w:val="1F4D77"/>
                        <w:sz w:val="28"/>
                      </w:rPr>
                      <w:t>State-Level </w:t>
                    </w:r>
                    <w:r>
                      <w:rPr>
                        <w:rFonts w:ascii="Arial"/>
                        <w:b/>
                        <w:color w:val="1F4D77"/>
                        <w:spacing w:val="-2"/>
                        <w:sz w:val="28"/>
                      </w:rPr>
                      <w:t>Analysis</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200768">
              <wp:simplePos x="0" y="0"/>
              <wp:positionH relativeFrom="page">
                <wp:posOffset>977900</wp:posOffset>
              </wp:positionH>
              <wp:positionV relativeFrom="page">
                <wp:posOffset>537542</wp:posOffset>
              </wp:positionV>
              <wp:extent cx="1567180" cy="224154"/>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1567180" cy="224154"/>
                      </a:xfrm>
                      <a:prstGeom prst="rect">
                        <a:avLst/>
                      </a:prstGeom>
                    </wps:spPr>
                    <wps:txbx>
                      <w:txbxContent>
                        <w:p>
                          <w:pPr>
                            <w:spacing w:before="11"/>
                            <w:ind w:left="20" w:right="0" w:firstLine="0"/>
                            <w:jc w:val="left"/>
                            <w:rPr>
                              <w:rFonts w:ascii="Arial"/>
                              <w:b/>
                              <w:sz w:val="28"/>
                            </w:rPr>
                          </w:pPr>
                          <w:r>
                            <w:rPr>
                              <w:rFonts w:ascii="Arial"/>
                              <w:b/>
                              <w:color w:val="1F4D77"/>
                              <w:sz w:val="28"/>
                            </w:rPr>
                            <w:t>Pollutant </w:t>
                          </w:r>
                          <w:r>
                            <w:rPr>
                              <w:rFonts w:ascii="Arial"/>
                              <w:b/>
                              <w:color w:val="1F4D77"/>
                              <w:spacing w:val="-2"/>
                              <w:sz w:val="28"/>
                            </w:rPr>
                            <w:t>Analysis</w:t>
                          </w:r>
                        </w:p>
                      </w:txbxContent>
                    </wps:txbx>
                    <wps:bodyPr wrap="square" lIns="0" tIns="0" rIns="0" bIns="0" rtlCol="0">
                      <a:noAutofit/>
                    </wps:bodyPr>
                  </wps:wsp>
                </a:graphicData>
              </a:graphic>
            </wp:anchor>
          </w:drawing>
        </mc:Choice>
        <mc:Fallback>
          <w:pict>
            <v:shape style="position:absolute;margin-left:77pt;margin-top:42.326172pt;width:123.4pt;height:17.650pt;mso-position-horizontal-relative:page;mso-position-vertical-relative:page;z-index:-16115712" type="#_x0000_t202" id="docshape6" filled="false" stroked="false">
              <v:textbox inset="0,0,0,0">
                <w:txbxContent>
                  <w:p>
                    <w:pPr>
                      <w:spacing w:before="11"/>
                      <w:ind w:left="20" w:right="0" w:firstLine="0"/>
                      <w:jc w:val="left"/>
                      <w:rPr>
                        <w:rFonts w:ascii="Arial"/>
                        <w:b/>
                        <w:sz w:val="28"/>
                      </w:rPr>
                    </w:pPr>
                    <w:r>
                      <w:rPr>
                        <w:rFonts w:ascii="Arial"/>
                        <w:b/>
                        <w:color w:val="1F4D77"/>
                        <w:sz w:val="28"/>
                      </w:rPr>
                      <w:t>Pollutant </w:t>
                    </w:r>
                    <w:r>
                      <w:rPr>
                        <w:rFonts w:ascii="Arial"/>
                        <w:b/>
                        <w:color w:val="1F4D77"/>
                        <w:spacing w:val="-2"/>
                        <w:sz w:val="28"/>
                      </w:rPr>
                      <w:t>Analysis</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201280">
              <wp:simplePos x="0" y="0"/>
              <wp:positionH relativeFrom="page">
                <wp:posOffset>977900</wp:posOffset>
              </wp:positionH>
              <wp:positionV relativeFrom="page">
                <wp:posOffset>537542</wp:posOffset>
              </wp:positionV>
              <wp:extent cx="2426335" cy="224154"/>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2426335" cy="224154"/>
                      </a:xfrm>
                      <a:prstGeom prst="rect">
                        <a:avLst/>
                      </a:prstGeom>
                    </wps:spPr>
                    <wps:txbx>
                      <w:txbxContent>
                        <w:p>
                          <w:pPr>
                            <w:spacing w:before="11"/>
                            <w:ind w:left="20" w:right="0" w:firstLine="0"/>
                            <w:jc w:val="left"/>
                            <w:rPr>
                              <w:rFonts w:ascii="Arial"/>
                              <w:b/>
                              <w:sz w:val="28"/>
                            </w:rPr>
                          </w:pPr>
                          <w:r>
                            <w:rPr>
                              <w:rFonts w:ascii="Arial"/>
                              <w:b/>
                              <w:color w:val="1F4D77"/>
                              <w:sz w:val="28"/>
                            </w:rPr>
                            <w:t>Risk &amp; Opportunity </w:t>
                          </w:r>
                          <w:r>
                            <w:rPr>
                              <w:rFonts w:ascii="Arial"/>
                              <w:b/>
                              <w:color w:val="1F4D77"/>
                              <w:spacing w:val="-2"/>
                              <w:sz w:val="28"/>
                            </w:rPr>
                            <w:t>Analysis</w:t>
                          </w:r>
                        </w:p>
                      </w:txbxContent>
                    </wps:txbx>
                    <wps:bodyPr wrap="square" lIns="0" tIns="0" rIns="0" bIns="0" rtlCol="0">
                      <a:noAutofit/>
                    </wps:bodyPr>
                  </wps:wsp>
                </a:graphicData>
              </a:graphic>
            </wp:anchor>
          </w:drawing>
        </mc:Choice>
        <mc:Fallback>
          <w:pict>
            <v:shape style="position:absolute;margin-left:77pt;margin-top:42.326172pt;width:191.05pt;height:17.650pt;mso-position-horizontal-relative:page;mso-position-vertical-relative:page;z-index:-16115200" type="#_x0000_t202" id="docshape7" filled="false" stroked="false">
              <v:textbox inset="0,0,0,0">
                <w:txbxContent>
                  <w:p>
                    <w:pPr>
                      <w:spacing w:before="11"/>
                      <w:ind w:left="20" w:right="0" w:firstLine="0"/>
                      <w:jc w:val="left"/>
                      <w:rPr>
                        <w:rFonts w:ascii="Arial"/>
                        <w:b/>
                        <w:sz w:val="28"/>
                      </w:rPr>
                    </w:pPr>
                    <w:r>
                      <w:rPr>
                        <w:rFonts w:ascii="Arial"/>
                        <w:b/>
                        <w:color w:val="1F4D77"/>
                        <w:sz w:val="28"/>
                      </w:rPr>
                      <w:t>Risk &amp; Opportunity </w:t>
                    </w:r>
                    <w:r>
                      <w:rPr>
                        <w:rFonts w:ascii="Arial"/>
                        <w:b/>
                        <w:color w:val="1F4D77"/>
                        <w:spacing w:val="-2"/>
                        <w:sz w:val="28"/>
                      </w:rPr>
                      <w:t>Analysis</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201792">
              <wp:simplePos x="0" y="0"/>
              <wp:positionH relativeFrom="page">
                <wp:posOffset>977900</wp:posOffset>
              </wp:positionH>
              <wp:positionV relativeFrom="page">
                <wp:posOffset>537542</wp:posOffset>
              </wp:positionV>
              <wp:extent cx="2051050" cy="224154"/>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2051050" cy="224154"/>
                      </a:xfrm>
                      <a:prstGeom prst="rect">
                        <a:avLst/>
                      </a:prstGeom>
                    </wps:spPr>
                    <wps:txbx>
                      <w:txbxContent>
                        <w:p>
                          <w:pPr>
                            <w:spacing w:before="11"/>
                            <w:ind w:left="20" w:right="0" w:firstLine="0"/>
                            <w:jc w:val="left"/>
                            <w:rPr>
                              <w:rFonts w:ascii="Arial"/>
                              <w:b/>
                              <w:sz w:val="28"/>
                            </w:rPr>
                          </w:pPr>
                          <w:r>
                            <w:rPr>
                              <w:rFonts w:ascii="Arial"/>
                              <w:b/>
                              <w:color w:val="1F4D77"/>
                              <w:sz w:val="28"/>
                            </w:rPr>
                            <w:t>Key Insights &amp; </w:t>
                          </w:r>
                          <w:r>
                            <w:rPr>
                              <w:rFonts w:ascii="Arial"/>
                              <w:b/>
                              <w:color w:val="1F4D77"/>
                              <w:spacing w:val="-2"/>
                              <w:sz w:val="28"/>
                            </w:rPr>
                            <w:t>Findings</w:t>
                          </w:r>
                        </w:p>
                      </w:txbxContent>
                    </wps:txbx>
                    <wps:bodyPr wrap="square" lIns="0" tIns="0" rIns="0" bIns="0" rtlCol="0">
                      <a:noAutofit/>
                    </wps:bodyPr>
                  </wps:wsp>
                </a:graphicData>
              </a:graphic>
            </wp:anchor>
          </w:drawing>
        </mc:Choice>
        <mc:Fallback>
          <w:pict>
            <v:shape style="position:absolute;margin-left:77pt;margin-top:42.326172pt;width:161.5pt;height:17.650pt;mso-position-horizontal-relative:page;mso-position-vertical-relative:page;z-index:-16114688" type="#_x0000_t202" id="docshape8" filled="false" stroked="false">
              <v:textbox inset="0,0,0,0">
                <w:txbxContent>
                  <w:p>
                    <w:pPr>
                      <w:spacing w:before="11"/>
                      <w:ind w:left="20" w:right="0" w:firstLine="0"/>
                      <w:jc w:val="left"/>
                      <w:rPr>
                        <w:rFonts w:ascii="Arial"/>
                        <w:b/>
                        <w:sz w:val="28"/>
                      </w:rPr>
                    </w:pPr>
                    <w:r>
                      <w:rPr>
                        <w:rFonts w:ascii="Arial"/>
                        <w:b/>
                        <w:color w:val="1F4D77"/>
                        <w:sz w:val="28"/>
                      </w:rPr>
                      <w:t>Key Insights &amp; </w:t>
                    </w:r>
                    <w:r>
                      <w:rPr>
                        <w:rFonts w:ascii="Arial"/>
                        <w:b/>
                        <w:color w:val="1F4D77"/>
                        <w:spacing w:val="-2"/>
                        <w:sz w:val="28"/>
                      </w:rPr>
                      <w:t>Findings</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202304">
              <wp:simplePos x="0" y="0"/>
              <wp:positionH relativeFrom="page">
                <wp:posOffset>977900</wp:posOffset>
              </wp:positionH>
              <wp:positionV relativeFrom="page">
                <wp:posOffset>537542</wp:posOffset>
              </wp:positionV>
              <wp:extent cx="2001520" cy="224154"/>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2001520" cy="224154"/>
                      </a:xfrm>
                      <a:prstGeom prst="rect">
                        <a:avLst/>
                      </a:prstGeom>
                    </wps:spPr>
                    <wps:txbx>
                      <w:txbxContent>
                        <w:p>
                          <w:pPr>
                            <w:spacing w:before="11"/>
                            <w:ind w:left="20" w:right="0" w:firstLine="0"/>
                            <w:jc w:val="left"/>
                            <w:rPr>
                              <w:rFonts w:ascii="Arial"/>
                              <w:b/>
                              <w:sz w:val="28"/>
                            </w:rPr>
                          </w:pPr>
                          <w:r>
                            <w:rPr>
                              <w:rFonts w:ascii="Arial"/>
                              <w:b/>
                              <w:color w:val="1F4D77"/>
                              <w:sz w:val="28"/>
                            </w:rPr>
                            <w:t>Recommended </w:t>
                          </w:r>
                          <w:r>
                            <w:rPr>
                              <w:rFonts w:ascii="Arial"/>
                              <w:b/>
                              <w:color w:val="1F4D77"/>
                              <w:spacing w:val="-2"/>
                              <w:sz w:val="28"/>
                            </w:rPr>
                            <w:t>Actions</w:t>
                          </w:r>
                        </w:p>
                      </w:txbxContent>
                    </wps:txbx>
                    <wps:bodyPr wrap="square" lIns="0" tIns="0" rIns="0" bIns="0" rtlCol="0">
                      <a:noAutofit/>
                    </wps:bodyPr>
                  </wps:wsp>
                </a:graphicData>
              </a:graphic>
            </wp:anchor>
          </w:drawing>
        </mc:Choice>
        <mc:Fallback>
          <w:pict>
            <v:shape style="position:absolute;margin-left:77pt;margin-top:42.326172pt;width:157.6pt;height:17.650pt;mso-position-horizontal-relative:page;mso-position-vertical-relative:page;z-index:-16114176" type="#_x0000_t202" id="docshape9" filled="false" stroked="false">
              <v:textbox inset="0,0,0,0">
                <w:txbxContent>
                  <w:p>
                    <w:pPr>
                      <w:spacing w:before="11"/>
                      <w:ind w:left="20" w:right="0" w:firstLine="0"/>
                      <w:jc w:val="left"/>
                      <w:rPr>
                        <w:rFonts w:ascii="Arial"/>
                        <w:b/>
                        <w:sz w:val="28"/>
                      </w:rPr>
                    </w:pPr>
                    <w:r>
                      <w:rPr>
                        <w:rFonts w:ascii="Arial"/>
                        <w:b/>
                        <w:color w:val="1F4D77"/>
                        <w:sz w:val="28"/>
                      </w:rPr>
                      <w:t>Recommended </w:t>
                    </w:r>
                    <w:r>
                      <w:rPr>
                        <w:rFonts w:ascii="Arial"/>
                        <w:b/>
                        <w:color w:val="1F4D77"/>
                        <w:spacing w:val="-2"/>
                        <w:sz w:val="28"/>
                      </w:rPr>
                      <w:t>Actions</w:t>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202816">
              <wp:simplePos x="0" y="0"/>
              <wp:positionH relativeFrom="page">
                <wp:posOffset>977900</wp:posOffset>
              </wp:positionH>
              <wp:positionV relativeFrom="page">
                <wp:posOffset>537542</wp:posOffset>
              </wp:positionV>
              <wp:extent cx="2169160" cy="224154"/>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2169160" cy="224154"/>
                      </a:xfrm>
                      <a:prstGeom prst="rect">
                        <a:avLst/>
                      </a:prstGeom>
                    </wps:spPr>
                    <wps:txbx>
                      <w:txbxContent>
                        <w:p>
                          <w:pPr>
                            <w:spacing w:before="11"/>
                            <w:ind w:left="20" w:right="0" w:firstLine="0"/>
                            <w:jc w:val="left"/>
                            <w:rPr>
                              <w:rFonts w:ascii="Arial"/>
                              <w:b/>
                              <w:sz w:val="28"/>
                            </w:rPr>
                          </w:pPr>
                          <w:r>
                            <w:rPr>
                              <w:rFonts w:ascii="Arial"/>
                              <w:b/>
                              <w:color w:val="1F4D77"/>
                              <w:sz w:val="28"/>
                            </w:rPr>
                            <w:t>Limitations &amp; </w:t>
                          </w:r>
                          <w:r>
                            <w:rPr>
                              <w:rFonts w:ascii="Arial"/>
                              <w:b/>
                              <w:color w:val="1F4D77"/>
                              <w:spacing w:val="-2"/>
                              <w:sz w:val="28"/>
                            </w:rPr>
                            <w:t>Conclusion</w:t>
                          </w:r>
                        </w:p>
                      </w:txbxContent>
                    </wps:txbx>
                    <wps:bodyPr wrap="square" lIns="0" tIns="0" rIns="0" bIns="0" rtlCol="0">
                      <a:noAutofit/>
                    </wps:bodyPr>
                  </wps:wsp>
                </a:graphicData>
              </a:graphic>
            </wp:anchor>
          </w:drawing>
        </mc:Choice>
        <mc:Fallback>
          <w:pict>
            <v:shape style="position:absolute;margin-left:77pt;margin-top:42.326172pt;width:170.8pt;height:17.650pt;mso-position-horizontal-relative:page;mso-position-vertical-relative:page;z-index:-16113664" type="#_x0000_t202" id="docshape10" filled="false" stroked="false">
              <v:textbox inset="0,0,0,0">
                <w:txbxContent>
                  <w:p>
                    <w:pPr>
                      <w:spacing w:before="11"/>
                      <w:ind w:left="20" w:right="0" w:firstLine="0"/>
                      <w:jc w:val="left"/>
                      <w:rPr>
                        <w:rFonts w:ascii="Arial"/>
                        <w:b/>
                        <w:sz w:val="28"/>
                      </w:rPr>
                    </w:pPr>
                    <w:r>
                      <w:rPr>
                        <w:rFonts w:ascii="Arial"/>
                        <w:b/>
                        <w:color w:val="1F4D77"/>
                        <w:sz w:val="28"/>
                      </w:rPr>
                      <w:t>Limitations &amp; </w:t>
                    </w:r>
                    <w:r>
                      <w:rPr>
                        <w:rFonts w:ascii="Arial"/>
                        <w:b/>
                        <w:color w:val="1F4D77"/>
                        <w:spacing w:val="-2"/>
                        <w:sz w:val="28"/>
                      </w:rPr>
                      <w:t>Conclusion</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342" w:hanging="223"/>
        <w:jc w:val="left"/>
      </w:pPr>
      <w:rPr>
        <w:rFonts w:hint="default" w:ascii="Arial" w:hAnsi="Arial" w:eastAsia="Arial" w:cs="Arial"/>
        <w:b/>
        <w:bCs/>
        <w:i/>
        <w:iCs/>
        <w:spacing w:val="0"/>
        <w:w w:val="100"/>
        <w:sz w:val="20"/>
        <w:szCs w:val="20"/>
        <w:lang w:val="en-US" w:eastAsia="en-US" w:bidi="ar-SA"/>
      </w:rPr>
    </w:lvl>
    <w:lvl w:ilvl="1">
      <w:start w:val="0"/>
      <w:numFmt w:val="bullet"/>
      <w:lvlText w:val="•"/>
      <w:lvlJc w:val="left"/>
      <w:pPr>
        <w:ind w:left="120" w:hanging="126"/>
      </w:pPr>
      <w:rPr>
        <w:rFonts w:hint="default" w:ascii="Arial MT" w:hAnsi="Arial MT" w:eastAsia="Arial MT" w:cs="Arial MT"/>
        <w:b w:val="0"/>
        <w:bCs w:val="0"/>
        <w:i w:val="0"/>
        <w:iCs w:val="0"/>
        <w:spacing w:val="0"/>
        <w:w w:val="100"/>
        <w:sz w:val="20"/>
        <w:szCs w:val="20"/>
        <w:lang w:val="en-US" w:eastAsia="en-US" w:bidi="ar-SA"/>
      </w:rPr>
    </w:lvl>
    <w:lvl w:ilvl="2">
      <w:start w:val="0"/>
      <w:numFmt w:val="bullet"/>
      <w:lvlText w:val="•"/>
      <w:lvlJc w:val="left"/>
      <w:pPr>
        <w:ind w:left="1342" w:hanging="126"/>
      </w:pPr>
      <w:rPr>
        <w:rFonts w:hint="default"/>
        <w:lang w:val="en-US" w:eastAsia="en-US" w:bidi="ar-SA"/>
      </w:rPr>
    </w:lvl>
    <w:lvl w:ilvl="3">
      <w:start w:val="0"/>
      <w:numFmt w:val="bullet"/>
      <w:lvlText w:val="•"/>
      <w:lvlJc w:val="left"/>
      <w:pPr>
        <w:ind w:left="2344" w:hanging="126"/>
      </w:pPr>
      <w:rPr>
        <w:rFonts w:hint="default"/>
        <w:lang w:val="en-US" w:eastAsia="en-US" w:bidi="ar-SA"/>
      </w:rPr>
    </w:lvl>
    <w:lvl w:ilvl="4">
      <w:start w:val="0"/>
      <w:numFmt w:val="bullet"/>
      <w:lvlText w:val="•"/>
      <w:lvlJc w:val="left"/>
      <w:pPr>
        <w:ind w:left="3346" w:hanging="126"/>
      </w:pPr>
      <w:rPr>
        <w:rFonts w:hint="default"/>
        <w:lang w:val="en-US" w:eastAsia="en-US" w:bidi="ar-SA"/>
      </w:rPr>
    </w:lvl>
    <w:lvl w:ilvl="5">
      <w:start w:val="0"/>
      <w:numFmt w:val="bullet"/>
      <w:lvlText w:val="•"/>
      <w:lvlJc w:val="left"/>
      <w:pPr>
        <w:ind w:left="4348" w:hanging="126"/>
      </w:pPr>
      <w:rPr>
        <w:rFonts w:hint="default"/>
        <w:lang w:val="en-US" w:eastAsia="en-US" w:bidi="ar-SA"/>
      </w:rPr>
    </w:lvl>
    <w:lvl w:ilvl="6">
      <w:start w:val="0"/>
      <w:numFmt w:val="bullet"/>
      <w:lvlText w:val="•"/>
      <w:lvlJc w:val="left"/>
      <w:pPr>
        <w:ind w:left="5351" w:hanging="126"/>
      </w:pPr>
      <w:rPr>
        <w:rFonts w:hint="default"/>
        <w:lang w:val="en-US" w:eastAsia="en-US" w:bidi="ar-SA"/>
      </w:rPr>
    </w:lvl>
    <w:lvl w:ilvl="7">
      <w:start w:val="0"/>
      <w:numFmt w:val="bullet"/>
      <w:lvlText w:val="•"/>
      <w:lvlJc w:val="left"/>
      <w:pPr>
        <w:ind w:left="6353" w:hanging="126"/>
      </w:pPr>
      <w:rPr>
        <w:rFonts w:hint="default"/>
        <w:lang w:val="en-US" w:eastAsia="en-US" w:bidi="ar-SA"/>
      </w:rPr>
    </w:lvl>
    <w:lvl w:ilvl="8">
      <w:start w:val="0"/>
      <w:numFmt w:val="bullet"/>
      <w:lvlText w:val="•"/>
      <w:lvlJc w:val="left"/>
      <w:pPr>
        <w:ind w:left="7355" w:hanging="126"/>
      </w:pPr>
      <w:rPr>
        <w:rFonts w:hint="default"/>
        <w:lang w:val="en-US" w:eastAsia="en-US" w:bidi="ar-SA"/>
      </w:rPr>
    </w:lvl>
  </w:abstractNum>
  <w:abstractNum w:abstractNumId="0">
    <w:multiLevelType w:val="hybridMultilevel"/>
    <w:lvl w:ilvl="0">
      <w:start w:val="1"/>
      <w:numFmt w:val="decimal"/>
      <w:lvlText w:val="%1."/>
      <w:lvlJc w:val="left"/>
      <w:pPr>
        <w:ind w:left="386" w:hanging="267"/>
        <w:jc w:val="left"/>
      </w:pPr>
      <w:rPr>
        <w:rFonts w:hint="default" w:ascii="Arial" w:hAnsi="Arial" w:eastAsia="Arial" w:cs="Arial"/>
        <w:b/>
        <w:bCs/>
        <w:i w:val="0"/>
        <w:iCs w:val="0"/>
        <w:color w:val="2D5B89"/>
        <w:spacing w:val="0"/>
        <w:w w:val="100"/>
        <w:sz w:val="24"/>
        <w:szCs w:val="24"/>
        <w:lang w:val="en-US" w:eastAsia="en-US" w:bidi="ar-SA"/>
      </w:rPr>
    </w:lvl>
    <w:lvl w:ilvl="1">
      <w:start w:val="0"/>
      <w:numFmt w:val="bullet"/>
      <w:lvlText w:val="•"/>
      <w:lvlJc w:val="left"/>
      <w:pPr>
        <w:ind w:left="1278" w:hanging="267"/>
      </w:pPr>
      <w:rPr>
        <w:rFonts w:hint="default"/>
        <w:lang w:val="en-US" w:eastAsia="en-US" w:bidi="ar-SA"/>
      </w:rPr>
    </w:lvl>
    <w:lvl w:ilvl="2">
      <w:start w:val="0"/>
      <w:numFmt w:val="bullet"/>
      <w:lvlText w:val="•"/>
      <w:lvlJc w:val="left"/>
      <w:pPr>
        <w:ind w:left="2176" w:hanging="267"/>
      </w:pPr>
      <w:rPr>
        <w:rFonts w:hint="default"/>
        <w:lang w:val="en-US" w:eastAsia="en-US" w:bidi="ar-SA"/>
      </w:rPr>
    </w:lvl>
    <w:lvl w:ilvl="3">
      <w:start w:val="0"/>
      <w:numFmt w:val="bullet"/>
      <w:lvlText w:val="•"/>
      <w:lvlJc w:val="left"/>
      <w:pPr>
        <w:ind w:left="3074" w:hanging="267"/>
      </w:pPr>
      <w:rPr>
        <w:rFonts w:hint="default"/>
        <w:lang w:val="en-US" w:eastAsia="en-US" w:bidi="ar-SA"/>
      </w:rPr>
    </w:lvl>
    <w:lvl w:ilvl="4">
      <w:start w:val="0"/>
      <w:numFmt w:val="bullet"/>
      <w:lvlText w:val="•"/>
      <w:lvlJc w:val="left"/>
      <w:pPr>
        <w:ind w:left="3972" w:hanging="267"/>
      </w:pPr>
      <w:rPr>
        <w:rFonts w:hint="default"/>
        <w:lang w:val="en-US" w:eastAsia="en-US" w:bidi="ar-SA"/>
      </w:rPr>
    </w:lvl>
    <w:lvl w:ilvl="5">
      <w:start w:val="0"/>
      <w:numFmt w:val="bullet"/>
      <w:lvlText w:val="•"/>
      <w:lvlJc w:val="left"/>
      <w:pPr>
        <w:ind w:left="4870" w:hanging="267"/>
      </w:pPr>
      <w:rPr>
        <w:rFonts w:hint="default"/>
        <w:lang w:val="en-US" w:eastAsia="en-US" w:bidi="ar-SA"/>
      </w:rPr>
    </w:lvl>
    <w:lvl w:ilvl="6">
      <w:start w:val="0"/>
      <w:numFmt w:val="bullet"/>
      <w:lvlText w:val="•"/>
      <w:lvlJc w:val="left"/>
      <w:pPr>
        <w:ind w:left="5768" w:hanging="267"/>
      </w:pPr>
      <w:rPr>
        <w:rFonts w:hint="default"/>
        <w:lang w:val="en-US" w:eastAsia="en-US" w:bidi="ar-SA"/>
      </w:rPr>
    </w:lvl>
    <w:lvl w:ilvl="7">
      <w:start w:val="0"/>
      <w:numFmt w:val="bullet"/>
      <w:lvlText w:val="•"/>
      <w:lvlJc w:val="left"/>
      <w:pPr>
        <w:ind w:left="6666" w:hanging="267"/>
      </w:pPr>
      <w:rPr>
        <w:rFonts w:hint="default"/>
        <w:lang w:val="en-US" w:eastAsia="en-US" w:bidi="ar-SA"/>
      </w:rPr>
    </w:lvl>
    <w:lvl w:ilvl="8">
      <w:start w:val="0"/>
      <w:numFmt w:val="bullet"/>
      <w:lvlText w:val="•"/>
      <w:lvlJc w:val="left"/>
      <w:pPr>
        <w:ind w:left="7564" w:hanging="267"/>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rPr>
      <w:rFonts w:ascii="Arial MT" w:hAnsi="Arial MT" w:eastAsia="Arial MT" w:cs="Arial MT"/>
      <w:sz w:val="20"/>
      <w:szCs w:val="20"/>
      <w:lang w:val="en-US" w:eastAsia="en-US" w:bidi="ar-SA"/>
    </w:rPr>
  </w:style>
  <w:style w:styleId="Heading1" w:type="paragraph">
    <w:name w:val="Heading 1"/>
    <w:basedOn w:val="Normal"/>
    <w:uiPriority w:val="1"/>
    <w:qFormat/>
    <w:pPr>
      <w:ind w:left="120"/>
      <w:outlineLvl w:val="1"/>
    </w:pPr>
    <w:rPr>
      <w:rFonts w:ascii="Arial" w:hAnsi="Arial" w:eastAsia="Arial" w:cs="Arial"/>
      <w:b/>
      <w:bCs/>
      <w:sz w:val="24"/>
      <w:szCs w:val="24"/>
      <w:lang w:val="en-US" w:eastAsia="en-US" w:bidi="ar-SA"/>
    </w:rPr>
  </w:style>
  <w:style w:styleId="Heading2" w:type="paragraph">
    <w:name w:val="Heading 2"/>
    <w:basedOn w:val="Normal"/>
    <w:uiPriority w:val="1"/>
    <w:qFormat/>
    <w:pPr>
      <w:ind w:left="342" w:hanging="222"/>
      <w:outlineLvl w:val="2"/>
    </w:pPr>
    <w:rPr>
      <w:rFonts w:ascii="Arial" w:hAnsi="Arial" w:eastAsia="Arial" w:cs="Arial"/>
      <w:b/>
      <w:bCs/>
      <w:i/>
      <w:iCs/>
      <w:sz w:val="20"/>
      <w:szCs w:val="20"/>
      <w:lang w:val="en-US" w:eastAsia="en-US" w:bidi="ar-SA"/>
    </w:rPr>
  </w:style>
  <w:style w:styleId="Title" w:type="paragraph">
    <w:name w:val="Title"/>
    <w:basedOn w:val="Normal"/>
    <w:uiPriority w:val="1"/>
    <w:qFormat/>
    <w:pPr>
      <w:spacing w:before="69"/>
      <w:ind w:left="438"/>
    </w:pPr>
    <w:rPr>
      <w:rFonts w:ascii="Arial" w:hAnsi="Arial" w:eastAsia="Arial" w:cs="Arial"/>
      <w:b/>
      <w:bCs/>
      <w:sz w:val="48"/>
      <w:szCs w:val="48"/>
      <w:lang w:val="en-US" w:eastAsia="en-US" w:bidi="ar-SA"/>
    </w:rPr>
  </w:style>
  <w:style w:styleId="ListParagraph" w:type="paragraph">
    <w:name w:val="List Paragraph"/>
    <w:basedOn w:val="Normal"/>
    <w:uiPriority w:val="1"/>
    <w:qFormat/>
    <w:pPr>
      <w:ind w:left="342" w:hanging="222"/>
    </w:pPr>
    <w:rPr>
      <w:rFonts w:ascii="Arial MT" w:hAnsi="Arial MT" w:eastAsia="Arial MT" w:cs="Arial MT"/>
      <w:lang w:val="en-US" w:eastAsia="en-US" w:bidi="ar-SA"/>
    </w:rPr>
  </w:style>
  <w:style w:styleId="TableParagraph" w:type="paragraph">
    <w:name w:val="Table Paragraph"/>
    <w:basedOn w:val="Normal"/>
    <w:uiPriority w:val="1"/>
    <w:qFormat/>
    <w:pPr>
      <w:spacing w:before="61"/>
      <w:ind w:left="20"/>
      <w:jc w:val="center"/>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header" Target="header4.xml"/><Relationship Id="rId9" Type="http://schemas.openxmlformats.org/officeDocument/2006/relationships/image" Target="media/image1.jpeg"/><Relationship Id="rId10" Type="http://schemas.openxmlformats.org/officeDocument/2006/relationships/header" Target="header5.xml"/><Relationship Id="rId11" Type="http://schemas.openxmlformats.org/officeDocument/2006/relationships/image" Target="media/image2.png"/><Relationship Id="rId12" Type="http://schemas.openxmlformats.org/officeDocument/2006/relationships/header" Target="header6.xml"/><Relationship Id="rId13" Type="http://schemas.openxmlformats.org/officeDocument/2006/relationships/image" Target="media/image3.png"/><Relationship Id="rId14" Type="http://schemas.openxmlformats.org/officeDocument/2006/relationships/header" Target="header7.xml"/><Relationship Id="rId15" Type="http://schemas.openxmlformats.org/officeDocument/2006/relationships/header" Target="header8.xml"/><Relationship Id="rId16" Type="http://schemas.openxmlformats.org/officeDocument/2006/relationships/header" Target="header9.xml"/><Relationship Id="rId17" Type="http://schemas.openxmlformats.org/officeDocument/2006/relationships/header" Target="header10.xml"/><Relationship Id="rId1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(anonymous)</dc:creator>
  <dc:subject>(unspecified)</dc:subject>
  <dc:title>(anonymous)</dc:title>
  <dcterms:created xsi:type="dcterms:W3CDTF">2026-09-22T17:45:40Z</dcterms:created>
  <dcterms:modified xsi:type="dcterms:W3CDTF">2026-09-22T17:45:40Z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v10.0.20070.1</vt:lpwstr>
  </property>
  <property fmtid="{D5CDD505-2E9C-101B-9397-08002B2CF9AE}" pid="3" name="Created">
    <vt:filetime>2026-09-18T00:00:00Z</vt:filetime>
  </property>
  <property fmtid="{D5CDD505-2E9C-101B-9397-08002B2CF9AE}" pid="4" name="Creator">
    <vt:lpwstr>(unspecified)</vt:lpwstr>
  </property>
  <property fmtid="{D5CDD505-2E9C-101B-9397-08002B2CF9AE}" pid="5" name="LastSaved">
    <vt:filetime>2026-09-22T00:00:00Z</vt:filetime>
  </property>
  <property fmtid="{D5CDD505-2E9C-101B-9397-08002B2CF9AE}" pid="6" name="Producer">
    <vt:lpwstr>3-Heights(TM) PDF Analysis &amp; Repair Shell 4.12.26.3 (http://www.pdf-tools.com)</vt:lpwstr>
  </property>
</Properties>
</file>