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01/06/2020, 02:57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24.3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180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170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80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13.2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Note----Please refer to Engg team for increase in weight &amp; cost due to higher working pressure in Hot water</w:t>
      </w:r>
    </w:p>
    <w:p>
      <w:pPr/>
      <w:r>
        <w:rPr/>
        <w:t xml:space="preserve">2. This selection is valid for insulated chiller only.</w:t>
      </w:r>
    </w:p>
    <w:p>
      <w:pPr/>
      <w:r>
        <w:rPr/>
        <w:t xml:space="preserve">3. For non-insulated chiller, the Capacity and Heat source consumption will vary.</w:t>
      </w:r>
    </w:p>
    <w:p>
      <w:pPr/>
      <w:r>
        <w:rPr/>
        <w:t xml:space="preserve">4. Plant Room Temperature should be from +5 deg C to +45 deg C</w:t>
      </w:r>
    </w:p>
    <w:p>
      <w:pPr/>
      <w:r>
        <w:rPr/>
        <w:t xml:space="preserve">5.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2020-01-06T14:57:13+05:30</dcterms:created>
  <dcterms:modified xsi:type="dcterms:W3CDTF">2020-01-06T14:57:13+05:30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