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horzAnchor="margin" w:tblpX="1" w:tblpY="-663"/>
        <w:tblW w:w="9900" w:type="dxa"/>
        <w:tblInd w:w="0" w:type="dxa"/>
        <w:tblLayout w:type="fixed"/>
        <w:tblCellMar>
          <w:top w:w="0" w:type="dxa"/>
          <w:left w:w="108" w:type="dxa"/>
          <w:bottom w:w="0" w:type="dxa"/>
          <w:right w:w="108" w:type="dxa"/>
        </w:tblCellMar>
      </w:tblPr>
      <w:tblGrid>
        <w:gridCol w:w="1100"/>
        <w:gridCol w:w="1370"/>
        <w:gridCol w:w="2675"/>
        <w:gridCol w:w="175"/>
        <w:gridCol w:w="1838"/>
        <w:gridCol w:w="329"/>
        <w:gridCol w:w="2413"/>
      </w:tblGrid>
      <w:tr w14:paraId="716A0883">
        <w:trPr>
          <w:trHeight w:val="869" w:hRule="atLeast"/>
        </w:trPr>
        <w:tc>
          <w:tcPr>
            <w:tcW w:w="9900" w:type="dxa"/>
            <w:gridSpan w:val="7"/>
            <w:tcBorders>
              <w:top w:val="nil"/>
              <w:left w:val="nil"/>
              <w:bottom w:val="single" w:color="auto" w:sz="4" w:space="0"/>
              <w:right w:val="nil"/>
            </w:tcBorders>
            <w:noWrap w:val="0"/>
            <w:vAlign w:val="center"/>
          </w:tcPr>
          <w:p w14:paraId="1A3C7EC7">
            <w:pPr>
              <w:adjustRightInd w:val="0"/>
              <w:snapToGrid w:val="0"/>
              <w:spacing w:line="580" w:lineRule="exact"/>
              <w:jc w:val="center"/>
              <w:rPr>
                <w:rFonts w:hint="eastAsia" w:ascii="宋体" w:hAnsi="宋体"/>
                <w:bCs/>
                <w:color w:val="000000"/>
                <w:sz w:val="44"/>
                <w:szCs w:val="44"/>
              </w:rPr>
            </w:pPr>
            <w:r>
              <w:rPr>
                <w:rFonts w:hint="eastAsia" w:ascii="宋体" w:hAnsi="宋体"/>
                <w:bCs/>
                <w:color w:val="000000"/>
                <w:sz w:val="44"/>
                <w:szCs w:val="44"/>
              </w:rPr>
              <w:t>广东省东莞市第</w:t>
            </w:r>
            <w:r>
              <w:rPr>
                <w:rFonts w:hint="eastAsia" w:ascii="宋体" w:hAnsi="宋体"/>
                <w:bCs/>
                <w:color w:val="000000"/>
                <w:sz w:val="44"/>
                <w:szCs w:val="44"/>
                <w:lang w:eastAsia="zh-CN"/>
              </w:rPr>
              <w:t>三</w:t>
            </w:r>
            <w:r>
              <w:rPr>
                <w:rFonts w:hint="eastAsia" w:ascii="宋体" w:hAnsi="宋体"/>
                <w:bCs/>
                <w:color w:val="000000"/>
                <w:sz w:val="44"/>
                <w:szCs w:val="44"/>
              </w:rPr>
              <w:t>人民法院</w:t>
            </w:r>
          </w:p>
          <w:p w14:paraId="19CD4A9C">
            <w:pPr>
              <w:adjustRightInd w:val="0"/>
              <w:snapToGrid w:val="0"/>
              <w:spacing w:line="580" w:lineRule="exact"/>
              <w:jc w:val="center"/>
              <w:rPr>
                <w:rFonts w:hint="eastAsia" w:ascii="宋体" w:hAnsi="宋体"/>
                <w:b/>
                <w:color w:val="000000"/>
                <w:sz w:val="44"/>
                <w:szCs w:val="44"/>
              </w:rPr>
            </w:pPr>
            <w:r>
              <w:rPr>
                <w:rFonts w:hint="eastAsia" w:ascii="宋体" w:hAnsi="宋体"/>
                <w:b/>
                <w:color w:val="000000"/>
                <w:sz w:val="44"/>
                <w:szCs w:val="44"/>
              </w:rPr>
              <w:t>送达地址、送达方式确认书</w:t>
            </w:r>
          </w:p>
          <w:p w14:paraId="25514CC3">
            <w:pPr>
              <w:widowControl/>
              <w:jc w:val="center"/>
              <w:rPr>
                <w:rFonts w:hint="eastAsia" w:ascii="仿宋_GB2312" w:hAnsi="宋体" w:eastAsia="仿宋_GB2312" w:cs="宋体"/>
                <w:bCs/>
                <w:kern w:val="0"/>
                <w:sz w:val="24"/>
              </w:rPr>
            </w:pPr>
            <w:r>
              <w:rPr>
                <w:rFonts w:hint="eastAsia" w:ascii="宋体" w:hAnsi="宋体" w:cs="宋体"/>
                <w:bCs/>
                <w:kern w:val="0"/>
                <w:sz w:val="24"/>
              </w:rPr>
              <w:t>[本件于</w:t>
            </w:r>
            <w:r>
              <w:rPr>
                <w:rFonts w:hint="eastAsia" w:ascii="宋体" w:hAnsi="宋体" w:cs="宋体"/>
                <w:b/>
                <w:bCs/>
                <w:kern w:val="0"/>
                <w:sz w:val="24"/>
              </w:rPr>
              <w:t>诉前调解、第一审、第二审、再审（含申诉、申请再审）和执行终结</w:t>
            </w:r>
            <w:r>
              <w:rPr>
                <w:rFonts w:hint="eastAsia" w:ascii="宋体" w:hAnsi="宋体" w:cs="宋体"/>
                <w:bCs/>
                <w:kern w:val="0"/>
                <w:sz w:val="24"/>
              </w:rPr>
              <w:t>前有效]</w:t>
            </w:r>
          </w:p>
        </w:tc>
      </w:tr>
      <w:tr w14:paraId="2DBBBD4D">
        <w:trPr>
          <w:trHeight w:val="369" w:hRule="atLeast"/>
        </w:trPr>
        <w:tc>
          <w:tcPr>
            <w:tcW w:w="1100" w:type="dxa"/>
            <w:tcBorders>
              <w:top w:val="single" w:color="auto" w:sz="4" w:space="0"/>
              <w:left w:val="single" w:color="auto" w:sz="4" w:space="0"/>
              <w:bottom w:val="single" w:color="auto" w:sz="4" w:space="0"/>
              <w:right w:val="single" w:color="auto" w:sz="4" w:space="0"/>
            </w:tcBorders>
            <w:noWrap w:val="0"/>
            <w:vAlign w:val="center"/>
          </w:tcPr>
          <w:p w14:paraId="412FB6C5">
            <w:pPr>
              <w:ind w:left="113" w:right="113"/>
              <w:jc w:val="center"/>
              <w:rPr>
                <w:rFonts w:hint="eastAsia" w:ascii="宋体" w:hAnsi="宋体" w:cs="宋体"/>
                <w:b/>
                <w:bCs/>
                <w:kern w:val="0"/>
                <w:sz w:val="36"/>
                <w:szCs w:val="36"/>
              </w:rPr>
            </w:pPr>
            <w:r>
              <w:rPr>
                <w:rFonts w:hint="eastAsia" w:ascii="仿宋_GB2312" w:hAnsi="宋体" w:eastAsia="仿宋_GB2312" w:cs="宋体"/>
                <w:kern w:val="0"/>
                <w:sz w:val="24"/>
              </w:rPr>
              <w:t>案号</w:t>
            </w:r>
          </w:p>
        </w:tc>
        <w:tc>
          <w:tcPr>
            <w:tcW w:w="8800" w:type="dxa"/>
            <w:gridSpan w:val="6"/>
            <w:tcBorders>
              <w:top w:val="single" w:color="auto" w:sz="4" w:space="0"/>
              <w:left w:val="single" w:color="auto" w:sz="4" w:space="0"/>
              <w:bottom w:val="single" w:color="auto" w:sz="4" w:space="0"/>
              <w:right w:val="single" w:color="auto" w:sz="4" w:space="0"/>
            </w:tcBorders>
            <w:noWrap w:val="0"/>
            <w:vAlign w:val="center"/>
          </w:tcPr>
          <w:p w14:paraId="35592C5D">
            <w:pPr>
              <w:rPr>
                <w:rFonts w:hint="eastAsia" w:ascii="仿宋_GB2312" w:hAnsi="宋体" w:eastAsia="仿宋_GB2312" w:cs="宋体"/>
                <w:b/>
                <w:bCs/>
                <w:kern w:val="0"/>
                <w:sz w:val="24"/>
              </w:rPr>
            </w:pPr>
            <w:r>
              <w:rPr>
                <w:rFonts w:hint="eastAsia" w:ascii="仿宋_GB2312" w:hAnsi="宋体" w:eastAsia="仿宋_GB2312" w:cs="宋体"/>
                <w:b/>
                <w:bCs/>
                <w:kern w:val="0"/>
                <w:sz w:val="24"/>
              </w:rPr>
              <w:t>【（</w:t>
            </w:r>
            <w:r>
              <w:rPr>
                <w:rFonts w:hint="eastAsia" w:ascii="仿宋_GB2312" w:hAnsi="宋体" w:eastAsia="仿宋_GB2312" w:cs="宋体"/>
                <w:b/>
                <w:bCs/>
                <w:kern w:val="0"/>
                <w:sz w:val="24"/>
                <w:lang w:val="en-US" w:eastAsia="zh-CN"/>
              </w:rPr>
              <w:t xml:space="preserve">   </w:t>
            </w:r>
            <w:r>
              <w:rPr>
                <w:rFonts w:hint="eastAsia" w:ascii="仿宋_GB2312" w:hAnsi="宋体" w:eastAsia="仿宋_GB2312" w:cs="宋体"/>
                <w:b/>
                <w:bCs/>
                <w:kern w:val="0"/>
                <w:sz w:val="24"/>
              </w:rPr>
              <w:t>）</w:t>
            </w:r>
            <w:r>
              <w:rPr>
                <w:rFonts w:hint="eastAsia" w:ascii="仿宋_GB2312" w:hAnsi="宋体" w:eastAsia="仿宋_GB2312" w:cs="宋体"/>
                <w:b/>
                <w:bCs/>
                <w:kern w:val="0"/>
                <w:sz w:val="24"/>
                <w:lang w:eastAsia="zh-CN"/>
              </w:rPr>
              <w:t>粤</w:t>
            </w:r>
            <w:r>
              <w:rPr>
                <w:rFonts w:hint="eastAsia" w:ascii="仿宋_GB2312" w:hAnsi="宋体" w:eastAsia="仿宋_GB2312" w:cs="宋体"/>
                <w:b/>
                <w:bCs/>
                <w:kern w:val="0"/>
                <w:sz w:val="24"/>
                <w:lang w:val="en-US" w:eastAsia="zh-CN"/>
              </w:rPr>
              <w:t xml:space="preserve">1973 </w:t>
            </w:r>
            <w:r>
              <w:rPr>
                <w:rFonts w:hint="eastAsia" w:ascii="仿宋_GB2312" w:hAnsi="宋体" w:eastAsia="仿宋_GB2312" w:cs="宋体"/>
                <w:b/>
                <w:bCs/>
                <w:kern w:val="0"/>
                <w:sz w:val="24"/>
              </w:rPr>
              <w:t xml:space="preserve">         号】</w:t>
            </w:r>
          </w:p>
        </w:tc>
      </w:tr>
      <w:tr w14:paraId="65DDD61B">
        <w:trPr>
          <w:cantSplit/>
          <w:trHeight w:val="4031" w:hRule="atLeast"/>
        </w:trPr>
        <w:tc>
          <w:tcPr>
            <w:tcW w:w="1100" w:type="dxa"/>
            <w:tcBorders>
              <w:top w:val="single" w:color="auto" w:sz="4" w:space="0"/>
              <w:left w:val="single" w:color="auto" w:sz="4" w:space="0"/>
              <w:bottom w:val="single" w:color="auto" w:sz="4" w:space="0"/>
              <w:right w:val="single" w:color="auto" w:sz="4" w:space="0"/>
            </w:tcBorders>
            <w:noWrap w:val="0"/>
            <w:textDirection w:val="tbRlV"/>
            <w:vAlign w:val="center"/>
          </w:tcPr>
          <w:p w14:paraId="006632EE">
            <w:pPr>
              <w:ind w:left="113" w:right="113"/>
              <w:jc w:val="center"/>
              <w:rPr>
                <w:rFonts w:hint="eastAsia" w:ascii="宋体" w:hAnsi="宋体" w:cs="宋体"/>
                <w:b/>
                <w:bCs/>
                <w:kern w:val="0"/>
                <w:sz w:val="32"/>
                <w:szCs w:val="32"/>
              </w:rPr>
            </w:pPr>
            <w:r>
              <w:rPr>
                <w:rFonts w:hint="eastAsia" w:ascii="仿宋_GB2312" w:hAnsi="宋体" w:eastAsia="仿宋_GB2312" w:cs="宋体"/>
                <w:b/>
                <w:kern w:val="0"/>
                <w:sz w:val="32"/>
                <w:szCs w:val="32"/>
              </w:rPr>
              <w:t>告 知 事 项</w:t>
            </w:r>
          </w:p>
        </w:tc>
        <w:tc>
          <w:tcPr>
            <w:tcW w:w="8800" w:type="dxa"/>
            <w:gridSpan w:val="6"/>
            <w:tcBorders>
              <w:top w:val="single" w:color="auto" w:sz="4" w:space="0"/>
              <w:left w:val="single" w:color="auto" w:sz="4" w:space="0"/>
              <w:right w:val="single" w:color="auto" w:sz="4" w:space="0"/>
            </w:tcBorders>
            <w:noWrap w:val="0"/>
            <w:vAlign w:val="center"/>
          </w:tcPr>
          <w:p w14:paraId="4C8D9FC8">
            <w:pPr>
              <w:ind w:firstLine="352" w:firstLineChars="147"/>
              <w:rPr>
                <w:rFonts w:hint="eastAsia" w:ascii="仿宋_GB2312" w:hAnsi="宋体" w:eastAsia="仿宋_GB2312" w:cs="宋体"/>
                <w:bCs/>
                <w:kern w:val="0"/>
                <w:sz w:val="24"/>
              </w:rPr>
            </w:pPr>
            <w:r>
              <w:rPr>
                <w:rFonts w:hint="eastAsia" w:ascii="仿宋_GB2312" w:hAnsi="宋体" w:eastAsia="仿宋_GB2312" w:cs="宋体"/>
                <w:bCs/>
                <w:kern w:val="0"/>
                <w:sz w:val="24"/>
              </w:rPr>
              <w:t>1.为便于当事人及时收到人民法院诉讼文书，保证诉讼、执行程序顺利进行，当事人应当如实提供准确的送达地址；诉讼期间如果送达地址有变更，应当及时告知人民法院变更后的送达地址；</w:t>
            </w:r>
            <w:r>
              <w:rPr>
                <w:rFonts w:hint="eastAsia" w:ascii="仿宋_GB2312" w:hAnsi="宋体" w:eastAsia="仿宋_GB2312" w:cs="宋体"/>
                <w:b/>
                <w:bCs/>
                <w:kern w:val="0"/>
                <w:sz w:val="24"/>
              </w:rPr>
              <w:t>如果提供的地址不准确，或不及时书面告知变更后的地址，使诉讼文书无法送达或未及时送达，当事人将自行承担由此产生的法律后果；本院按确认的邮寄地址进行送达，因填写地址不详或迁移新址导致邮件被退回或当事人拒收邮件的，将视为有效送达</w:t>
            </w:r>
            <w:r>
              <w:rPr>
                <w:rFonts w:hint="eastAsia" w:ascii="仿宋_GB2312" w:hAnsi="宋体" w:eastAsia="仿宋_GB2312" w:cs="宋体"/>
                <w:bCs/>
                <w:kern w:val="0"/>
                <w:sz w:val="24"/>
              </w:rPr>
              <w:t>。</w:t>
            </w:r>
          </w:p>
          <w:p w14:paraId="25C02D9A">
            <w:pPr>
              <w:ind w:firstLine="352" w:firstLineChars="147"/>
              <w:rPr>
                <w:rFonts w:hint="eastAsia" w:ascii="仿宋_GB2312" w:hAnsi="宋体" w:eastAsia="仿宋_GB2312" w:cs="宋体"/>
                <w:bCs/>
                <w:kern w:val="0"/>
                <w:sz w:val="24"/>
              </w:rPr>
            </w:pPr>
            <w:r>
              <w:rPr>
                <w:rFonts w:hint="eastAsia" w:ascii="仿宋_GB2312" w:hAnsi="宋体" w:eastAsia="仿宋_GB2312" w:cs="宋体"/>
                <w:bCs/>
                <w:kern w:val="0"/>
                <w:sz w:val="24"/>
              </w:rPr>
              <w:t>2.根据有关送达的法律规定（</w:t>
            </w:r>
            <w:r>
              <w:rPr>
                <w:rFonts w:hint="eastAsia" w:ascii="仿宋_GB2312" w:hAnsi="宋体" w:eastAsia="仿宋_GB2312" w:cs="宋体"/>
                <w:b/>
                <w:kern w:val="0"/>
                <w:sz w:val="24"/>
              </w:rPr>
              <w:t>详</w:t>
            </w:r>
            <w:r>
              <w:rPr>
                <w:rFonts w:hint="eastAsia" w:ascii="仿宋_GB2312" w:hAnsi="宋体" w:eastAsia="仿宋_GB2312" w:cs="宋体"/>
                <w:b/>
                <w:bCs/>
                <w:kern w:val="0"/>
                <w:sz w:val="24"/>
              </w:rPr>
              <w:t>见本确认书背面</w:t>
            </w:r>
            <w:r>
              <w:rPr>
                <w:rFonts w:hint="eastAsia" w:ascii="仿宋_GB2312" w:hAnsi="宋体" w:eastAsia="仿宋_GB2312" w:cs="宋体"/>
                <w:bCs/>
                <w:kern w:val="0"/>
                <w:sz w:val="24"/>
              </w:rPr>
              <w:t>），本院将</w:t>
            </w:r>
            <w:r>
              <w:rPr>
                <w:rFonts w:hint="eastAsia" w:ascii="仿宋_GB2312" w:hAnsi="宋体" w:eastAsia="仿宋_GB2312" w:cs="宋体"/>
                <w:b/>
                <w:bCs/>
                <w:kern w:val="0"/>
                <w:sz w:val="24"/>
              </w:rPr>
              <w:t>优先使用电子送达方式（包括微信送达、短信送达和网上平台送达等）送达包括判决书、裁定书、调解书和决定书在内的诉讼文书</w:t>
            </w:r>
            <w:r>
              <w:rPr>
                <w:rFonts w:hint="eastAsia" w:ascii="仿宋_GB2312" w:hAnsi="宋体" w:eastAsia="仿宋_GB2312" w:cs="宋体"/>
                <w:bCs/>
                <w:kern w:val="0"/>
                <w:sz w:val="24"/>
              </w:rPr>
              <w:t>。当事人需要纸质判决书、裁定书、调解书的，可向本院提出。</w:t>
            </w:r>
          </w:p>
          <w:p w14:paraId="79A20EEE">
            <w:pPr>
              <w:ind w:firstLine="352" w:firstLineChars="147"/>
              <w:rPr>
                <w:rFonts w:hint="eastAsia" w:ascii="宋体" w:hAnsi="宋体" w:cs="宋体"/>
                <w:b/>
                <w:bCs/>
                <w:kern w:val="0"/>
                <w:sz w:val="36"/>
                <w:szCs w:val="36"/>
              </w:rPr>
            </w:pPr>
            <w:r>
              <w:rPr>
                <w:rFonts w:hint="eastAsia" w:ascii="仿宋_GB2312" w:hAnsi="宋体" w:eastAsia="仿宋_GB2312" w:cs="宋体"/>
                <w:bCs/>
                <w:kern w:val="0"/>
                <w:sz w:val="24"/>
              </w:rPr>
              <w:t>3.</w:t>
            </w:r>
            <w:r>
              <w:rPr>
                <w:rFonts w:hint="eastAsia" w:ascii="仿宋_GB2312" w:hAnsi="宋体" w:eastAsia="仿宋_GB2312" w:cs="宋体"/>
                <w:b/>
                <w:bCs/>
                <w:kern w:val="0"/>
                <w:sz w:val="24"/>
              </w:rPr>
              <w:t>当事人微信地址信息可通过下列方式采集：</w:t>
            </w:r>
            <w:r>
              <w:rPr>
                <w:rFonts w:ascii="仿宋_GB2312" w:hAnsi="宋体" w:eastAsia="仿宋_GB2312" w:cs="宋体"/>
                <w:b/>
                <w:bCs/>
                <w:kern w:val="0"/>
                <w:sz w:val="24"/>
              </w:rPr>
              <w:t>1</w:t>
            </w:r>
            <w:r>
              <w:rPr>
                <w:rFonts w:hint="eastAsia" w:ascii="仿宋_GB2312" w:hAnsi="宋体" w:eastAsia="仿宋_GB2312" w:cs="宋体"/>
                <w:b/>
                <w:bCs/>
                <w:kern w:val="0"/>
                <w:sz w:val="24"/>
              </w:rPr>
              <w:t>）关注“广东法院诉讼服务”等微信公众号并进行身份验证;</w:t>
            </w:r>
            <w:r>
              <w:rPr>
                <w:rFonts w:ascii="仿宋_GB2312" w:hAnsi="宋体" w:eastAsia="仿宋_GB2312" w:cs="宋体"/>
                <w:b/>
                <w:bCs/>
                <w:kern w:val="0"/>
                <w:sz w:val="24"/>
              </w:rPr>
              <w:t xml:space="preserve"> 2</w:t>
            </w:r>
            <w:r>
              <w:rPr>
                <w:rFonts w:hint="eastAsia" w:ascii="仿宋_GB2312" w:hAnsi="宋体" w:eastAsia="仿宋_GB2312" w:cs="宋体"/>
                <w:b/>
                <w:bCs/>
                <w:kern w:val="0"/>
                <w:sz w:val="24"/>
              </w:rPr>
              <w:t>）与审判、执行团队的工作微信以“加好友”方式相互关注并通过验证。通过前述方式验证后，当事人的微信号将视为微信送达地址。</w:t>
            </w:r>
          </w:p>
        </w:tc>
      </w:tr>
      <w:tr w14:paraId="55D8BC9C">
        <w:trPr>
          <w:trHeight w:val="423" w:hRule="atLeast"/>
        </w:trPr>
        <w:tc>
          <w:tcPr>
            <w:tcW w:w="1100" w:type="dxa"/>
            <w:vMerge w:val="restart"/>
            <w:tcBorders>
              <w:top w:val="single" w:color="auto" w:sz="4" w:space="0"/>
              <w:left w:val="single" w:color="auto" w:sz="4" w:space="0"/>
              <w:right w:val="single" w:color="auto" w:sz="4" w:space="0"/>
            </w:tcBorders>
            <w:noWrap w:val="0"/>
            <w:textDirection w:val="tbRlV"/>
            <w:vAlign w:val="center"/>
          </w:tcPr>
          <w:p w14:paraId="63E73972">
            <w:pPr>
              <w:widowControl/>
              <w:ind w:left="113" w:right="113"/>
              <w:jc w:val="center"/>
              <w:rPr>
                <w:rFonts w:hint="eastAsia" w:ascii="仿宋_GB2312" w:hAnsi="宋体" w:eastAsia="仿宋_GB2312" w:cs="宋体"/>
                <w:b/>
                <w:kern w:val="0"/>
                <w:sz w:val="32"/>
                <w:szCs w:val="32"/>
                <w:lang w:eastAsia="zh-CN"/>
              </w:rPr>
            </w:pPr>
            <w:r>
              <w:rPr>
                <w:rFonts w:hint="eastAsia" w:ascii="仿宋_GB2312" w:hAnsi="宋体" w:eastAsia="仿宋_GB2312" w:cs="宋体"/>
                <w:b/>
                <w:kern w:val="0"/>
                <w:sz w:val="32"/>
                <w:szCs w:val="32"/>
              </w:rPr>
              <w:t>当事人</w:t>
            </w:r>
            <w:r>
              <w:rPr>
                <w:rFonts w:hint="eastAsia" w:ascii="仿宋_GB2312" w:hAnsi="宋体" w:eastAsia="仿宋_GB2312" w:cs="宋体"/>
                <w:b/>
                <w:kern w:val="0"/>
                <w:sz w:val="32"/>
                <w:szCs w:val="32"/>
                <w:lang w:eastAsia="zh-CN"/>
              </w:rPr>
              <w:t>本人的送达地址（必填）</w:t>
            </w:r>
          </w:p>
        </w:tc>
        <w:tc>
          <w:tcPr>
            <w:tcW w:w="4045" w:type="dxa"/>
            <w:gridSpan w:val="2"/>
            <w:tcBorders>
              <w:top w:val="single" w:color="auto" w:sz="4" w:space="0"/>
              <w:left w:val="nil"/>
              <w:bottom w:val="single" w:color="auto" w:sz="4" w:space="0"/>
              <w:right w:val="single" w:color="auto" w:sz="4" w:space="0"/>
            </w:tcBorders>
            <w:noWrap w:val="0"/>
            <w:vAlign w:val="center"/>
          </w:tcPr>
          <w:p w14:paraId="1D8BBE9C">
            <w:pPr>
              <w:widowControl/>
              <w:rPr>
                <w:rFonts w:ascii="仿宋_GB2312" w:hAnsi="宋体" w:eastAsia="仿宋_GB2312" w:cs="宋体"/>
                <w:kern w:val="0"/>
                <w:sz w:val="24"/>
              </w:rPr>
            </w:pPr>
            <w:r>
              <w:rPr>
                <w:rFonts w:hint="eastAsia" w:ascii="仿宋_GB2312" w:hAnsi="宋体" w:eastAsia="仿宋_GB2312" w:cs="宋体"/>
                <w:kern w:val="0"/>
                <w:sz w:val="24"/>
              </w:rPr>
              <w:t>姓名（名称）：{{案件我方当事人名称}}</w:t>
            </w:r>
          </w:p>
        </w:tc>
        <w:tc>
          <w:tcPr>
            <w:tcW w:w="2342" w:type="dxa"/>
            <w:gridSpan w:val="3"/>
            <w:tcBorders>
              <w:top w:val="single" w:color="auto" w:sz="4" w:space="0"/>
              <w:left w:val="single" w:color="auto" w:sz="4" w:space="0"/>
              <w:bottom w:val="single" w:color="auto" w:sz="4" w:space="0"/>
              <w:right w:val="single" w:color="auto" w:sz="4" w:space="0"/>
            </w:tcBorders>
            <w:noWrap w:val="0"/>
            <w:vAlign w:val="center"/>
          </w:tcPr>
          <w:p w14:paraId="083B4B49">
            <w:pPr>
              <w:widowControl/>
              <w:rPr>
                <w:rFonts w:hint="eastAsia" w:ascii="仿宋_GB2312" w:hAnsi="宋体" w:eastAsia="仿宋_GB2312" w:cs="宋体"/>
                <w:kern w:val="0"/>
                <w:sz w:val="24"/>
                <w:lang w:eastAsia="zh-CN"/>
              </w:rPr>
            </w:pPr>
            <w:r>
              <w:rPr>
                <w:rFonts w:hint="eastAsia" w:ascii="仿宋_GB2312" w:hAnsi="宋体" w:eastAsia="仿宋_GB2312" w:cs="宋体"/>
                <w:kern w:val="0"/>
                <w:sz w:val="24"/>
                <w:lang w:eastAsia="zh-CN"/>
              </w:rPr>
              <w:t>法定代表人及职务：</w:t>
            </w:r>
          </w:p>
        </w:tc>
        <w:tc>
          <w:tcPr>
            <w:tcW w:w="2413" w:type="dxa"/>
            <w:tcBorders>
              <w:top w:val="single" w:color="auto" w:sz="4" w:space="0"/>
              <w:left w:val="single" w:color="auto" w:sz="4" w:space="0"/>
              <w:bottom w:val="single" w:color="auto" w:sz="4" w:space="0"/>
              <w:right w:val="single" w:color="auto" w:sz="4" w:space="0"/>
            </w:tcBorders>
            <w:noWrap w:val="0"/>
            <w:vAlign w:val="center"/>
          </w:tcPr>
          <w:p w14:paraId="66CC0BF2">
            <w:pPr>
              <w:widowControl/>
              <w:rPr>
                <w:rFonts w:hint="eastAsia" w:ascii="仿宋_GB2312" w:hAnsi="宋体" w:eastAsia="仿宋_GB2312" w:cs="宋体"/>
                <w:kern w:val="0"/>
                <w:sz w:val="24"/>
                <w:lang w:eastAsia="zh-CN"/>
              </w:rPr>
            </w:pPr>
          </w:p>
        </w:tc>
      </w:tr>
      <w:tr w14:paraId="74461BC1">
        <w:trPr>
          <w:trHeight w:val="510" w:hRule="atLeast"/>
        </w:trPr>
        <w:tc>
          <w:tcPr>
            <w:tcW w:w="1100" w:type="dxa"/>
            <w:vMerge w:val="continue"/>
            <w:tcBorders>
              <w:left w:val="single" w:color="auto" w:sz="4" w:space="0"/>
              <w:right w:val="single" w:color="auto" w:sz="4" w:space="0"/>
            </w:tcBorders>
            <w:noWrap w:val="0"/>
            <w:textDirection w:val="tbRlV"/>
            <w:vAlign w:val="center"/>
          </w:tcPr>
          <w:p w14:paraId="2897BE0F">
            <w:pPr>
              <w:widowControl/>
              <w:ind w:left="113" w:right="113"/>
              <w:jc w:val="center"/>
              <w:rPr>
                <w:rFonts w:ascii="仿宋_GB2312" w:hAnsi="宋体" w:eastAsia="仿宋_GB2312" w:cs="宋体"/>
                <w:b/>
                <w:kern w:val="0"/>
                <w:sz w:val="32"/>
                <w:szCs w:val="32"/>
              </w:rPr>
            </w:pPr>
          </w:p>
        </w:tc>
        <w:tc>
          <w:tcPr>
            <w:tcW w:w="1370" w:type="dxa"/>
            <w:tcBorders>
              <w:top w:val="single" w:color="auto" w:sz="4" w:space="0"/>
              <w:left w:val="nil"/>
              <w:bottom w:val="single" w:color="auto" w:sz="4" w:space="0"/>
              <w:right w:val="single" w:color="auto" w:sz="4" w:space="0"/>
            </w:tcBorders>
            <w:noWrap w:val="0"/>
            <w:vAlign w:val="center"/>
          </w:tcPr>
          <w:p w14:paraId="334F7FE7">
            <w:pPr>
              <w:widowControl/>
              <w:rPr>
                <w:rFonts w:hint="eastAsia" w:ascii="仿宋_GB2312" w:hAnsi="宋体" w:eastAsia="仿宋_GB2312" w:cs="宋体"/>
                <w:kern w:val="0"/>
                <w:sz w:val="24"/>
              </w:rPr>
            </w:pPr>
            <w:r>
              <w:rPr>
                <w:rFonts w:hint="eastAsia" w:ascii="仿宋_GB2312" w:hAnsi="宋体" w:eastAsia="仿宋_GB2312" w:cs="宋体"/>
                <w:kern w:val="0"/>
                <w:sz w:val="24"/>
              </w:rPr>
              <w:t>身份证号：</w:t>
            </w:r>
          </w:p>
        </w:tc>
        <w:tc>
          <w:tcPr>
            <w:tcW w:w="2675" w:type="dxa"/>
            <w:tcBorders>
              <w:top w:val="single" w:color="auto" w:sz="4" w:space="0"/>
              <w:left w:val="nil"/>
              <w:bottom w:val="single" w:color="auto" w:sz="4" w:space="0"/>
              <w:right w:val="single" w:color="auto" w:sz="4" w:space="0"/>
            </w:tcBorders>
            <w:noWrap w:val="0"/>
            <w:vAlign w:val="center"/>
          </w:tcPr>
          <w:p w14:paraId="1CDA7FE2">
            <w:pPr>
              <w:widowControl/>
              <w:rPr>
                <w:rFonts w:ascii="仿宋_GB2312" w:hAnsi="宋体" w:eastAsia="仿宋_GB2312" w:cs="宋体"/>
                <w:kern w:val="0"/>
                <w:sz w:val="24"/>
              </w:rPr>
            </w:pPr>
            <w:r>
              <w:rPr>
                <w:rFonts w:hint="eastAsia" w:ascii="仿宋_GB2312" w:hAnsi="宋体" w:eastAsia="仿宋_GB2312" w:cs="宋体"/>
                <w:kern w:val="0"/>
                <w:sz w:val="24"/>
              </w:rPr>
              <w:t>{{案件我方当事人ID}}</w:t>
            </w:r>
          </w:p>
        </w:tc>
        <w:tc>
          <w:tcPr>
            <w:tcW w:w="2342" w:type="dxa"/>
            <w:gridSpan w:val="3"/>
            <w:tcBorders>
              <w:top w:val="single" w:color="auto" w:sz="4" w:space="0"/>
              <w:left w:val="nil"/>
              <w:bottom w:val="single" w:color="auto" w:sz="4" w:space="0"/>
              <w:right w:val="single" w:color="auto" w:sz="4" w:space="0"/>
            </w:tcBorders>
            <w:noWrap w:val="0"/>
            <w:vAlign w:val="center"/>
          </w:tcPr>
          <w:p w14:paraId="3A952C21">
            <w:pPr>
              <w:widowControl/>
              <w:rPr>
                <w:rFonts w:hint="eastAsia" w:ascii="仿宋_GB2312" w:hAnsi="宋体" w:eastAsia="仿宋_GB2312" w:cs="宋体"/>
                <w:kern w:val="0"/>
                <w:sz w:val="24"/>
              </w:rPr>
            </w:pPr>
            <w:r>
              <w:rPr>
                <w:rFonts w:hint="eastAsia" w:ascii="仿宋_GB2312" w:hAnsi="宋体" w:eastAsia="仿宋_GB2312" w:cs="宋体"/>
                <w:spacing w:val="-4"/>
                <w:kern w:val="0"/>
                <w:position w:val="-6"/>
                <w:szCs w:val="21"/>
              </w:rPr>
              <w:t>机构代码证号：</w:t>
            </w:r>
          </w:p>
        </w:tc>
        <w:tc>
          <w:tcPr>
            <w:tcW w:w="2413" w:type="dxa"/>
            <w:tcBorders>
              <w:top w:val="single" w:color="auto" w:sz="4" w:space="0"/>
              <w:left w:val="nil"/>
              <w:bottom w:val="single" w:color="auto" w:sz="4" w:space="0"/>
              <w:right w:val="single" w:color="auto" w:sz="4" w:space="0"/>
            </w:tcBorders>
            <w:noWrap w:val="0"/>
            <w:vAlign w:val="center"/>
          </w:tcPr>
          <w:p w14:paraId="7F5AB4F7">
            <w:pPr>
              <w:widowControl/>
              <w:rPr>
                <w:rFonts w:ascii="仿宋_GB2312" w:hAnsi="宋体" w:eastAsia="仿宋_GB2312" w:cs="宋体"/>
                <w:kern w:val="0"/>
                <w:sz w:val="24"/>
              </w:rPr>
            </w:pPr>
            <w:r>
              <w:rPr>
                <w:rFonts w:hint="eastAsia" w:ascii="仿宋_GB2312" w:hAnsi="宋体" w:eastAsia="仿宋_GB2312" w:cs="宋体"/>
                <w:kern w:val="0"/>
                <w:sz w:val="24"/>
              </w:rPr>
              <w:t>{{案件我方当事人ID}}</w:t>
            </w:r>
          </w:p>
        </w:tc>
      </w:tr>
      <w:tr w14:paraId="70E04ECD">
        <w:trPr>
          <w:trHeight w:val="510" w:hRule="atLeast"/>
        </w:trPr>
        <w:tc>
          <w:tcPr>
            <w:tcW w:w="1100" w:type="dxa"/>
            <w:vMerge w:val="continue"/>
            <w:tcBorders>
              <w:left w:val="single" w:color="auto" w:sz="4" w:space="0"/>
              <w:right w:val="single" w:color="auto" w:sz="4" w:space="0"/>
            </w:tcBorders>
            <w:noWrap w:val="0"/>
            <w:textDirection w:val="tbRlV"/>
            <w:vAlign w:val="center"/>
          </w:tcPr>
          <w:p w14:paraId="074D179C">
            <w:pPr>
              <w:widowControl/>
              <w:ind w:left="113" w:right="113"/>
              <w:jc w:val="center"/>
              <w:rPr>
                <w:rFonts w:ascii="仿宋_GB2312" w:hAnsi="宋体" w:eastAsia="仿宋_GB2312" w:cs="宋体"/>
                <w:b/>
                <w:kern w:val="0"/>
                <w:sz w:val="32"/>
                <w:szCs w:val="32"/>
              </w:rPr>
            </w:pPr>
          </w:p>
        </w:tc>
        <w:tc>
          <w:tcPr>
            <w:tcW w:w="8800" w:type="dxa"/>
            <w:gridSpan w:val="6"/>
            <w:tcBorders>
              <w:top w:val="single" w:color="auto" w:sz="4" w:space="0"/>
              <w:left w:val="nil"/>
              <w:bottom w:val="single" w:color="auto" w:sz="4" w:space="0"/>
              <w:right w:val="single" w:color="auto" w:sz="4" w:space="0"/>
            </w:tcBorders>
            <w:noWrap w:val="0"/>
            <w:vAlign w:val="center"/>
          </w:tcPr>
          <w:p w14:paraId="263CAD20">
            <w:pPr>
              <w:widowControl/>
              <w:rPr>
                <w:rFonts w:hint="eastAsia" w:ascii="仿宋_GB2312" w:hAnsi="宋体" w:eastAsia="仿宋_GB2312" w:cs="宋体"/>
                <w:kern w:val="0"/>
                <w:sz w:val="24"/>
              </w:rPr>
            </w:pPr>
            <w:r>
              <w:rPr>
                <w:rFonts w:hint="eastAsia" w:ascii="仿宋_GB2312" w:hAnsi="宋体" w:eastAsia="仿宋_GB2312" w:cs="宋体"/>
                <w:kern w:val="0"/>
                <w:sz w:val="24"/>
              </w:rPr>
              <w:t>送达地址：{{案件律师地址}}</w:t>
            </w:r>
          </w:p>
        </w:tc>
      </w:tr>
      <w:tr w14:paraId="7398AABC">
        <w:trPr>
          <w:trHeight w:val="510" w:hRule="atLeast"/>
        </w:trPr>
        <w:tc>
          <w:tcPr>
            <w:tcW w:w="1100" w:type="dxa"/>
            <w:vMerge w:val="continue"/>
            <w:tcBorders>
              <w:left w:val="single" w:color="auto" w:sz="4" w:space="0"/>
              <w:right w:val="single" w:color="auto" w:sz="4" w:space="0"/>
            </w:tcBorders>
            <w:noWrap w:val="0"/>
            <w:textDirection w:val="tbRlV"/>
            <w:vAlign w:val="center"/>
          </w:tcPr>
          <w:p w14:paraId="4A685D1A">
            <w:pPr>
              <w:widowControl/>
              <w:ind w:left="113" w:right="113"/>
              <w:jc w:val="center"/>
              <w:rPr>
                <w:rFonts w:ascii="仿宋_GB2312" w:hAnsi="宋体" w:eastAsia="仿宋_GB2312" w:cs="宋体"/>
                <w:b/>
                <w:kern w:val="0"/>
                <w:sz w:val="32"/>
                <w:szCs w:val="32"/>
              </w:rPr>
            </w:pPr>
          </w:p>
        </w:tc>
        <w:tc>
          <w:tcPr>
            <w:tcW w:w="8800" w:type="dxa"/>
            <w:gridSpan w:val="6"/>
            <w:tcBorders>
              <w:top w:val="single" w:color="auto" w:sz="4" w:space="0"/>
              <w:left w:val="nil"/>
              <w:bottom w:val="single" w:color="auto" w:sz="4" w:space="0"/>
              <w:right w:val="single" w:color="auto" w:sz="4" w:space="0"/>
            </w:tcBorders>
            <w:noWrap w:val="0"/>
            <w:vAlign w:val="center"/>
          </w:tcPr>
          <w:p w14:paraId="2EDE71A5">
            <w:pPr>
              <w:widowControl/>
              <w:rPr>
                <w:rFonts w:hint="eastAsia" w:ascii="仿宋_GB2312" w:hAnsi="宋体" w:eastAsia="仿宋_GB2312" w:cs="宋体"/>
                <w:kern w:val="0"/>
                <w:sz w:val="24"/>
              </w:rPr>
            </w:pPr>
            <w:r>
              <w:rPr>
                <w:rFonts w:hint="eastAsia" w:ascii="仿宋_GB2312" w:hAnsi="宋体" w:eastAsia="仿宋_GB2312" w:cs="宋体"/>
                <w:kern w:val="0"/>
                <w:sz w:val="24"/>
              </w:rPr>
              <w:t>联系电话（接收短信）：{{案件律师电话}}</w:t>
            </w:r>
          </w:p>
        </w:tc>
      </w:tr>
      <w:tr w14:paraId="491CFAEF">
        <w:trPr>
          <w:trHeight w:val="1721" w:hRule="atLeast"/>
        </w:trPr>
        <w:tc>
          <w:tcPr>
            <w:tcW w:w="1100" w:type="dxa"/>
            <w:vMerge w:val="continue"/>
            <w:tcBorders>
              <w:left w:val="single" w:color="auto" w:sz="4" w:space="0"/>
              <w:right w:val="single" w:color="auto" w:sz="4" w:space="0"/>
            </w:tcBorders>
            <w:noWrap w:val="0"/>
            <w:textDirection w:val="tbRlV"/>
            <w:vAlign w:val="center"/>
          </w:tcPr>
          <w:p w14:paraId="0C31DD3E">
            <w:pPr>
              <w:widowControl/>
              <w:ind w:left="113" w:right="113"/>
              <w:jc w:val="center"/>
              <w:rPr>
                <w:rFonts w:ascii="仿宋_GB2312" w:hAnsi="宋体" w:eastAsia="仿宋_GB2312" w:cs="宋体"/>
                <w:b/>
                <w:kern w:val="0"/>
                <w:sz w:val="32"/>
                <w:szCs w:val="32"/>
              </w:rPr>
            </w:pPr>
          </w:p>
        </w:tc>
        <w:tc>
          <w:tcPr>
            <w:tcW w:w="1370" w:type="dxa"/>
            <w:tcBorders>
              <w:top w:val="nil"/>
              <w:left w:val="nil"/>
              <w:right w:val="single" w:color="auto" w:sz="4" w:space="0"/>
            </w:tcBorders>
            <w:noWrap w:val="0"/>
            <w:textDirection w:val="tbRlV"/>
            <w:vAlign w:val="center"/>
          </w:tcPr>
          <w:p w14:paraId="58A7E026">
            <w:pPr>
              <w:ind w:left="113" w:right="113"/>
              <w:jc w:val="center"/>
              <w:rPr>
                <w:rFonts w:hint="eastAsia" w:ascii="仿宋_GB2312" w:hAnsi="宋体" w:eastAsia="仿宋_GB2312" w:cs="宋体"/>
                <w:kern w:val="0"/>
                <w:sz w:val="24"/>
              </w:rPr>
            </w:pPr>
            <w:r>
              <w:rPr>
                <w:rFonts w:hint="eastAsia" w:ascii="仿宋_GB2312" w:hAnsi="宋体" w:eastAsia="仿宋_GB2312" w:cs="宋体"/>
                <w:kern w:val="0"/>
                <w:sz w:val="24"/>
              </w:rPr>
              <w:t>电子送达</w:t>
            </w:r>
          </w:p>
        </w:tc>
        <w:tc>
          <w:tcPr>
            <w:tcW w:w="7430" w:type="dxa"/>
            <w:gridSpan w:val="5"/>
            <w:tcBorders>
              <w:top w:val="nil"/>
              <w:left w:val="nil"/>
              <w:right w:val="single" w:color="auto" w:sz="4" w:space="0"/>
            </w:tcBorders>
            <w:noWrap w:val="0"/>
            <w:vAlign w:val="center"/>
          </w:tcPr>
          <w:p w14:paraId="018E7613">
            <w:pPr>
              <w:widowControl/>
              <w:ind w:left="240" w:hanging="240" w:hangingChars="100"/>
              <w:rPr>
                <w:rFonts w:hint="eastAsia" w:ascii="仿宋_GB2312" w:hAnsi="宋体" w:eastAsia="仿宋_GB2312" w:cs="宋体"/>
                <w:kern w:val="0"/>
                <w:sz w:val="24"/>
              </w:rPr>
            </w:pPr>
            <w:r>
              <w:rPr>
                <w:rFonts w:hint="eastAsia" w:ascii="仿宋_GB2312" w:hAnsi="宋体" w:eastAsia="仿宋_GB2312" w:cs="宋体"/>
                <w:kern w:val="0"/>
                <w:sz w:val="24"/>
              </w:rPr>
              <w:t>1.粤公正小程序（广东诉讼服务网）/东莞法院诉讼服务小程序（智慧送达平台）等</w:t>
            </w:r>
          </w:p>
          <w:p w14:paraId="6DD34FAF">
            <w:pPr>
              <w:widowControl/>
              <w:ind w:left="240" w:hanging="240" w:hangingChars="100"/>
              <w:rPr>
                <w:rFonts w:hint="eastAsia" w:ascii="仿宋_GB2312" w:hAnsi="宋体" w:eastAsia="仿宋_GB2312" w:cs="宋体"/>
                <w:kern w:val="0"/>
                <w:sz w:val="24"/>
              </w:rPr>
            </w:pPr>
            <w:r>
              <w:rPr>
                <w:rFonts w:hint="eastAsia" w:ascii="仿宋_GB2312" w:hAnsi="宋体" w:eastAsia="仿宋_GB2312" w:cs="宋体"/>
                <w:kern w:val="0"/>
                <w:sz w:val="24"/>
              </w:rPr>
              <w:t>2.微信，微信号为</w:t>
            </w:r>
            <w:r>
              <w:rPr>
                <w:rFonts w:hint="eastAsia" w:ascii="仿宋_GB2312" w:hAnsi="宋体" w:eastAsia="仿宋_GB2312" w:cs="宋体"/>
                <w:kern w:val="0"/>
                <w:sz w:val="24"/>
                <w:u w:val="single"/>
              </w:rPr>
              <w:t xml:space="preserve"> {{案件律师电话}}</w:t>
            </w:r>
            <w:bookmarkStart w:id="3" w:name="_GoBack"/>
            <w:bookmarkEnd w:id="3"/>
            <w:r>
              <w:rPr>
                <w:rFonts w:hint="eastAsia" w:ascii="仿宋_GB2312" w:hAnsi="宋体" w:eastAsia="仿宋_GB2312" w:cs="宋体"/>
                <w:kern w:val="0"/>
                <w:sz w:val="24"/>
                <w:u w:val="single"/>
              </w:rPr>
              <w:t xml:space="preserve"> </w:t>
            </w:r>
            <w:r>
              <w:rPr>
                <w:rFonts w:hint="eastAsia" w:ascii="仿宋_GB2312" w:hAnsi="宋体" w:eastAsia="仿宋_GB2312" w:cs="宋体"/>
                <w:kern w:val="0"/>
                <w:sz w:val="24"/>
              </w:rPr>
              <w:t xml:space="preserve">或微信二维码（须附页打印提供并签名确认）  </w:t>
            </w:r>
          </w:p>
          <w:p w14:paraId="294DEC1A">
            <w:pPr>
              <w:widowControl/>
              <w:ind w:left="240" w:hanging="240" w:hangingChars="100"/>
              <w:rPr>
                <w:rFonts w:hint="default" w:ascii="仿宋_GB2312" w:hAnsi="宋体" w:eastAsia="仿宋_GB2312" w:cs="宋体"/>
                <w:kern w:val="0"/>
                <w:sz w:val="24"/>
                <w:lang w:val="en-US" w:eastAsia="zh-CN"/>
              </w:rPr>
            </w:pPr>
            <w:r>
              <w:rPr>
                <w:rFonts w:hint="eastAsia" w:ascii="仿宋_GB2312" w:hAnsi="宋体" w:eastAsia="仿宋_GB2312" w:cs="宋体"/>
                <w:kern w:val="0"/>
                <w:sz w:val="24"/>
                <w:lang w:val="en-US" w:eastAsia="zh-CN"/>
              </w:rPr>
              <w:t>3.短信</w:t>
            </w:r>
          </w:p>
        </w:tc>
      </w:tr>
      <w:tr w14:paraId="74CBE2CD">
        <w:trPr>
          <w:trHeight w:val="422" w:hRule="atLeast"/>
        </w:trPr>
        <w:tc>
          <w:tcPr>
            <w:tcW w:w="1100" w:type="dxa"/>
            <w:vMerge w:val="restart"/>
            <w:tcBorders>
              <w:top w:val="single" w:color="auto" w:sz="4" w:space="0"/>
              <w:left w:val="single" w:color="auto" w:sz="4" w:space="0"/>
              <w:right w:val="single" w:color="auto" w:sz="4" w:space="0"/>
            </w:tcBorders>
            <w:noWrap w:val="0"/>
            <w:textDirection w:val="tbRlV"/>
            <w:vAlign w:val="center"/>
          </w:tcPr>
          <w:p w14:paraId="14E3A2D7">
            <w:pPr>
              <w:widowControl/>
              <w:ind w:left="113" w:right="113"/>
              <w:jc w:val="center"/>
              <w:rPr>
                <w:rFonts w:hint="eastAsia" w:ascii="仿宋_GB2312" w:hAnsi="宋体" w:eastAsia="仿宋_GB2312" w:cs="宋体"/>
                <w:b/>
                <w:kern w:val="0"/>
                <w:sz w:val="32"/>
                <w:szCs w:val="32"/>
                <w:lang w:eastAsia="zh-CN"/>
              </w:rPr>
            </w:pPr>
            <w:r>
              <w:rPr>
                <w:rFonts w:hint="eastAsia" w:ascii="仿宋_GB2312" w:hAnsi="宋体" w:eastAsia="仿宋_GB2312" w:cs="宋体"/>
                <w:b/>
                <w:kern w:val="0"/>
                <w:sz w:val="32"/>
                <w:szCs w:val="32"/>
                <w:lang w:eastAsia="zh-CN"/>
              </w:rPr>
              <w:t>代收人的送达地址</w:t>
            </w:r>
          </w:p>
        </w:tc>
        <w:tc>
          <w:tcPr>
            <w:tcW w:w="4220" w:type="dxa"/>
            <w:gridSpan w:val="3"/>
            <w:tcBorders>
              <w:top w:val="single" w:color="auto" w:sz="4" w:space="0"/>
              <w:left w:val="nil"/>
              <w:bottom w:val="single" w:color="auto" w:sz="4" w:space="0"/>
              <w:right w:val="single" w:color="auto" w:sz="4" w:space="0"/>
            </w:tcBorders>
            <w:noWrap w:val="0"/>
            <w:vAlign w:val="center"/>
          </w:tcPr>
          <w:p w14:paraId="744FF26A">
            <w:pPr>
              <w:widowControl/>
              <w:rPr>
                <w:rFonts w:ascii="仿宋_GB2312" w:hAnsi="宋体" w:eastAsia="仿宋_GB2312" w:cs="宋体"/>
                <w:kern w:val="0"/>
                <w:sz w:val="24"/>
              </w:rPr>
            </w:pPr>
            <w:r>
              <w:rPr>
                <w:rFonts w:hint="eastAsia" w:ascii="仿宋_GB2312" w:hAnsi="宋体" w:eastAsia="仿宋_GB2312" w:cs="宋体"/>
                <w:kern w:val="0"/>
                <w:sz w:val="24"/>
              </w:rPr>
              <w:t>姓名（名称）：{{案件律师姓名}}</w:t>
            </w:r>
          </w:p>
        </w:tc>
        <w:tc>
          <w:tcPr>
            <w:tcW w:w="1838" w:type="dxa"/>
            <w:tcBorders>
              <w:top w:val="single" w:color="auto" w:sz="4" w:space="0"/>
              <w:left w:val="single" w:color="auto" w:sz="4" w:space="0"/>
              <w:bottom w:val="single" w:color="auto" w:sz="4" w:space="0"/>
              <w:right w:val="single" w:color="auto" w:sz="4" w:space="0"/>
            </w:tcBorders>
            <w:noWrap w:val="0"/>
            <w:vAlign w:val="center"/>
          </w:tcPr>
          <w:p w14:paraId="27B6F7FC">
            <w:pPr>
              <w:widowControl/>
              <w:rPr>
                <w:rFonts w:hint="eastAsia" w:ascii="仿宋_GB2312" w:hAnsi="宋体" w:eastAsia="仿宋_GB2312" w:cs="宋体"/>
                <w:kern w:val="0"/>
                <w:sz w:val="24"/>
                <w:lang w:eastAsia="zh-CN"/>
              </w:rPr>
            </w:pPr>
            <w:r>
              <w:rPr>
                <w:rFonts w:hint="eastAsia" w:ascii="仿宋_GB2312" w:hAnsi="宋体" w:eastAsia="仿宋_GB2312" w:cs="宋体"/>
                <w:kern w:val="0"/>
                <w:sz w:val="24"/>
                <w:lang w:eastAsia="zh-CN"/>
              </w:rPr>
              <w:t>与当事人关系：</w:t>
            </w:r>
          </w:p>
        </w:tc>
        <w:tc>
          <w:tcPr>
            <w:tcW w:w="2742" w:type="dxa"/>
            <w:gridSpan w:val="2"/>
            <w:tcBorders>
              <w:top w:val="single" w:color="auto" w:sz="4" w:space="0"/>
              <w:left w:val="single" w:color="auto" w:sz="4" w:space="0"/>
              <w:bottom w:val="single" w:color="auto" w:sz="4" w:space="0"/>
              <w:right w:val="single" w:color="000000" w:sz="4" w:space="0"/>
            </w:tcBorders>
            <w:noWrap w:val="0"/>
            <w:vAlign w:val="center"/>
          </w:tcPr>
          <w:p w14:paraId="700FB107">
            <w:pPr>
              <w:widowControl/>
              <w:rPr>
                <w:rFonts w:hint="default" w:ascii="仿宋_GB2312" w:hAnsi="宋体" w:eastAsia="仿宋_GB2312" w:cs="宋体"/>
                <w:kern w:val="0"/>
                <w:sz w:val="24"/>
                <w:lang w:val="en-US" w:eastAsia="zh-CN"/>
              </w:rPr>
            </w:pPr>
            <w:r>
              <w:rPr>
                <w:rFonts w:hint="eastAsia" w:ascii="仿宋_GB2312" w:hAnsi="宋体" w:eastAsia="仿宋_GB2312" w:cs="宋体"/>
                <w:kern w:val="0"/>
                <w:sz w:val="24"/>
                <w:lang w:val="en-US" w:eastAsia="zh-CN"/>
              </w:rPr>
              <w:t>委托诉讼代理人</w:t>
            </w:r>
          </w:p>
        </w:tc>
      </w:tr>
      <w:tr w14:paraId="153D77D0">
        <w:trPr>
          <w:trHeight w:val="539" w:hRule="atLeast"/>
        </w:trPr>
        <w:tc>
          <w:tcPr>
            <w:tcW w:w="1100" w:type="dxa"/>
            <w:vMerge w:val="continue"/>
            <w:tcBorders>
              <w:left w:val="single" w:color="auto" w:sz="4" w:space="0"/>
              <w:right w:val="single" w:color="auto" w:sz="4" w:space="0"/>
            </w:tcBorders>
            <w:noWrap w:val="0"/>
            <w:textDirection w:val="tbRlV"/>
            <w:vAlign w:val="center"/>
          </w:tcPr>
          <w:p w14:paraId="58898AF3">
            <w:pPr>
              <w:widowControl/>
              <w:ind w:left="113" w:right="113"/>
              <w:jc w:val="center"/>
              <w:rPr>
                <w:rFonts w:hint="eastAsia" w:ascii="仿宋_GB2312" w:hAnsi="宋体" w:eastAsia="仿宋_GB2312" w:cs="宋体"/>
                <w:kern w:val="0"/>
                <w:sz w:val="24"/>
              </w:rPr>
            </w:pPr>
          </w:p>
        </w:tc>
        <w:tc>
          <w:tcPr>
            <w:tcW w:w="8800" w:type="dxa"/>
            <w:gridSpan w:val="6"/>
            <w:tcBorders>
              <w:top w:val="single" w:color="auto" w:sz="4" w:space="0"/>
              <w:left w:val="nil"/>
              <w:bottom w:val="single" w:color="auto" w:sz="4" w:space="0"/>
              <w:right w:val="single" w:color="000000" w:sz="4" w:space="0"/>
            </w:tcBorders>
            <w:noWrap w:val="0"/>
            <w:vAlign w:val="center"/>
          </w:tcPr>
          <w:p w14:paraId="78AEE19B">
            <w:pPr>
              <w:widowControl/>
              <w:rPr>
                <w:rFonts w:hint="eastAsia" w:ascii="仿宋_GB2312" w:hAnsi="宋体" w:eastAsia="仿宋_GB2312" w:cs="宋体"/>
                <w:kern w:val="0"/>
                <w:sz w:val="24"/>
                <w:lang w:eastAsia="zh-CN"/>
              </w:rPr>
            </w:pPr>
            <w:r>
              <w:rPr>
                <w:rFonts w:hint="eastAsia" w:ascii="仿宋_GB2312" w:hAnsi="宋体" w:eastAsia="仿宋_GB2312" w:cs="宋体"/>
                <w:kern w:val="0"/>
                <w:sz w:val="24"/>
                <w:lang w:val="en-US" w:eastAsia="zh-CN"/>
              </w:rPr>
              <w:t>律师证号</w:t>
            </w:r>
            <w:r>
              <w:rPr>
                <w:rFonts w:hint="eastAsia" w:ascii="仿宋_GB2312" w:hAnsi="宋体" w:eastAsia="仿宋_GB2312" w:cs="宋体"/>
                <w:kern w:val="0"/>
                <w:sz w:val="24"/>
                <w:lang w:eastAsia="zh-CN"/>
              </w:rPr>
              <w:t>：{{案件律师ID}}</w:t>
            </w:r>
          </w:p>
        </w:tc>
      </w:tr>
      <w:tr w14:paraId="295C68D2">
        <w:trPr>
          <w:trHeight w:val="407" w:hRule="atLeast"/>
        </w:trPr>
        <w:tc>
          <w:tcPr>
            <w:tcW w:w="1100" w:type="dxa"/>
            <w:vMerge w:val="continue"/>
            <w:tcBorders>
              <w:left w:val="single" w:color="auto" w:sz="4" w:space="0"/>
              <w:right w:val="single" w:color="auto" w:sz="4" w:space="0"/>
            </w:tcBorders>
            <w:noWrap w:val="0"/>
            <w:textDirection w:val="tbRlV"/>
            <w:vAlign w:val="center"/>
          </w:tcPr>
          <w:p w14:paraId="1C421A5F">
            <w:pPr>
              <w:widowControl/>
              <w:ind w:left="113" w:right="113"/>
              <w:jc w:val="center"/>
              <w:rPr>
                <w:rFonts w:hint="eastAsia" w:ascii="仿宋_GB2312" w:hAnsi="宋体" w:eastAsia="仿宋_GB2312" w:cs="宋体"/>
                <w:kern w:val="0"/>
                <w:sz w:val="24"/>
              </w:rPr>
            </w:pPr>
          </w:p>
        </w:tc>
        <w:tc>
          <w:tcPr>
            <w:tcW w:w="8800" w:type="dxa"/>
            <w:gridSpan w:val="6"/>
            <w:tcBorders>
              <w:top w:val="single" w:color="auto" w:sz="4" w:space="0"/>
              <w:left w:val="nil"/>
              <w:bottom w:val="single" w:color="auto" w:sz="4" w:space="0"/>
              <w:right w:val="single" w:color="000000" w:sz="4" w:space="0"/>
            </w:tcBorders>
            <w:noWrap w:val="0"/>
            <w:vAlign w:val="center"/>
          </w:tcPr>
          <w:p w14:paraId="595DA06C">
            <w:pPr>
              <w:widowControl/>
              <w:jc w:val="left"/>
              <w:rPr>
                <w:rFonts w:hint="eastAsia" w:ascii="仿宋_GB2312" w:hAnsi="宋体" w:eastAsia="仿宋_GB2312" w:cs="宋体"/>
                <w:kern w:val="0"/>
                <w:sz w:val="24"/>
              </w:rPr>
            </w:pPr>
            <w:r>
              <w:rPr>
                <w:rFonts w:hint="eastAsia" w:ascii="仿宋_GB2312" w:hAnsi="宋体" w:eastAsia="仿宋_GB2312" w:cs="宋体"/>
                <w:kern w:val="0"/>
                <w:sz w:val="24"/>
              </w:rPr>
              <w:t>送达地址：{{案件律师地址}}</w:t>
            </w:r>
          </w:p>
        </w:tc>
      </w:tr>
      <w:tr w14:paraId="4DF15B45">
        <w:trPr>
          <w:trHeight w:val="510" w:hRule="atLeast"/>
        </w:trPr>
        <w:tc>
          <w:tcPr>
            <w:tcW w:w="1100" w:type="dxa"/>
            <w:vMerge w:val="continue"/>
            <w:tcBorders>
              <w:left w:val="single" w:color="auto" w:sz="4" w:space="0"/>
              <w:right w:val="single" w:color="auto" w:sz="4" w:space="0"/>
            </w:tcBorders>
            <w:noWrap w:val="0"/>
            <w:textDirection w:val="tbRlV"/>
            <w:vAlign w:val="center"/>
          </w:tcPr>
          <w:p w14:paraId="7CCAF74C">
            <w:pPr>
              <w:widowControl/>
              <w:ind w:left="113" w:right="113"/>
              <w:jc w:val="center"/>
              <w:rPr>
                <w:rFonts w:hint="eastAsia" w:ascii="仿宋_GB2312" w:hAnsi="宋体" w:eastAsia="仿宋_GB2312" w:cs="宋体"/>
                <w:kern w:val="0"/>
                <w:sz w:val="24"/>
              </w:rPr>
            </w:pPr>
          </w:p>
        </w:tc>
        <w:tc>
          <w:tcPr>
            <w:tcW w:w="8800" w:type="dxa"/>
            <w:gridSpan w:val="6"/>
            <w:tcBorders>
              <w:top w:val="single" w:color="auto" w:sz="4" w:space="0"/>
              <w:left w:val="nil"/>
              <w:bottom w:val="single" w:color="auto" w:sz="4" w:space="0"/>
              <w:right w:val="single" w:color="000000" w:sz="4" w:space="0"/>
            </w:tcBorders>
            <w:noWrap w:val="0"/>
            <w:vAlign w:val="center"/>
          </w:tcPr>
          <w:p w14:paraId="7B78FDDA">
            <w:pPr>
              <w:widowControl/>
              <w:rPr>
                <w:rFonts w:ascii="仿宋_GB2312" w:hAnsi="宋体" w:eastAsia="仿宋_GB2312" w:cs="宋体"/>
                <w:kern w:val="0"/>
                <w:sz w:val="24"/>
              </w:rPr>
            </w:pPr>
            <w:r>
              <w:rPr>
                <w:rFonts w:hint="eastAsia" w:ascii="仿宋_GB2312" w:hAnsi="宋体" w:eastAsia="仿宋_GB2312" w:cs="宋体"/>
                <w:kern w:val="0"/>
                <w:sz w:val="24"/>
              </w:rPr>
              <w:t>联系电话（接收短信）：{{案件律师电话}}</w:t>
            </w:r>
          </w:p>
        </w:tc>
      </w:tr>
      <w:tr w14:paraId="70855A98">
        <w:trPr>
          <w:cantSplit/>
          <w:trHeight w:val="1279" w:hRule="atLeast"/>
        </w:trPr>
        <w:tc>
          <w:tcPr>
            <w:tcW w:w="1100" w:type="dxa"/>
            <w:vMerge w:val="continue"/>
            <w:tcBorders>
              <w:left w:val="single" w:color="auto" w:sz="4" w:space="0"/>
              <w:right w:val="single" w:color="auto" w:sz="4" w:space="0"/>
            </w:tcBorders>
            <w:noWrap w:val="0"/>
            <w:vAlign w:val="center"/>
          </w:tcPr>
          <w:p w14:paraId="45F29680">
            <w:pPr>
              <w:widowControl/>
              <w:jc w:val="left"/>
              <w:rPr>
                <w:rFonts w:ascii="仿宋_GB2312" w:hAnsi="宋体" w:eastAsia="仿宋_GB2312" w:cs="宋体"/>
                <w:kern w:val="0"/>
                <w:sz w:val="24"/>
              </w:rPr>
            </w:pPr>
          </w:p>
        </w:tc>
        <w:tc>
          <w:tcPr>
            <w:tcW w:w="1370" w:type="dxa"/>
            <w:tcBorders>
              <w:top w:val="single" w:color="auto" w:sz="4" w:space="0"/>
              <w:left w:val="nil"/>
              <w:right w:val="single" w:color="000000" w:sz="4" w:space="0"/>
            </w:tcBorders>
            <w:noWrap w:val="0"/>
            <w:textDirection w:val="tbRlV"/>
            <w:vAlign w:val="center"/>
          </w:tcPr>
          <w:p w14:paraId="6893C085">
            <w:pPr>
              <w:widowControl/>
              <w:ind w:left="113" w:right="113"/>
              <w:jc w:val="center"/>
              <w:rPr>
                <w:rFonts w:ascii="仿宋_GB2312" w:hAnsi="宋体" w:eastAsia="仿宋_GB2312" w:cs="宋体"/>
                <w:kern w:val="0"/>
                <w:sz w:val="24"/>
              </w:rPr>
            </w:pPr>
            <w:r>
              <w:rPr>
                <w:rFonts w:hint="eastAsia" w:ascii="仿宋_GB2312" w:hAnsi="宋体" w:eastAsia="仿宋_GB2312" w:cs="宋体"/>
                <w:kern w:val="0"/>
                <w:sz w:val="24"/>
              </w:rPr>
              <w:t>电子送达</w:t>
            </w:r>
          </w:p>
        </w:tc>
        <w:tc>
          <w:tcPr>
            <w:tcW w:w="7430" w:type="dxa"/>
            <w:gridSpan w:val="5"/>
            <w:tcBorders>
              <w:top w:val="single" w:color="auto" w:sz="4" w:space="0"/>
              <w:left w:val="nil"/>
              <w:right w:val="single" w:color="000000" w:sz="4" w:space="0"/>
            </w:tcBorders>
            <w:noWrap w:val="0"/>
            <w:vAlign w:val="center"/>
          </w:tcPr>
          <w:p w14:paraId="626EAC15">
            <w:pPr>
              <w:widowControl/>
              <w:ind w:left="240" w:hanging="240" w:hangingChars="100"/>
              <w:rPr>
                <w:rFonts w:hint="eastAsia" w:ascii="仿宋_GB2312" w:hAnsi="宋体" w:eastAsia="仿宋_GB2312" w:cs="宋体"/>
                <w:kern w:val="0"/>
                <w:sz w:val="24"/>
              </w:rPr>
            </w:pPr>
            <w:r>
              <w:rPr>
                <w:rFonts w:hint="eastAsia" w:ascii="仿宋_GB2312" w:hAnsi="宋体" w:eastAsia="仿宋_GB2312" w:cs="宋体"/>
                <w:kern w:val="0"/>
                <w:sz w:val="24"/>
              </w:rPr>
              <w:t>1.粤公正小程序（广东诉讼服务网）/东莞法院诉讼服务小程序（智慧送达平台）等</w:t>
            </w:r>
          </w:p>
          <w:p w14:paraId="45021C30">
            <w:pPr>
              <w:widowControl/>
              <w:ind w:left="240" w:hanging="240" w:hangingChars="100"/>
              <w:rPr>
                <w:rFonts w:hint="eastAsia" w:ascii="仿宋_GB2312" w:hAnsi="宋体" w:eastAsia="仿宋_GB2312" w:cs="宋体"/>
                <w:kern w:val="0"/>
                <w:sz w:val="24"/>
              </w:rPr>
            </w:pPr>
            <w:r>
              <w:rPr>
                <w:rFonts w:hint="eastAsia" w:ascii="仿宋_GB2312" w:hAnsi="宋体" w:eastAsia="仿宋_GB2312" w:cs="宋体"/>
                <w:kern w:val="0"/>
                <w:sz w:val="24"/>
              </w:rPr>
              <w:t>2.微信，微信号为</w:t>
            </w:r>
            <w:r>
              <w:rPr>
                <w:rFonts w:hint="eastAsia" w:ascii="仿宋_GB2312" w:hAnsi="宋体" w:eastAsia="仿宋_GB2312" w:cs="宋体"/>
                <w:kern w:val="0"/>
                <w:sz w:val="24"/>
                <w:u w:val="single"/>
              </w:rPr>
              <w:t xml:space="preserve"> {{案件律师电话}} </w:t>
            </w:r>
            <w:r>
              <w:rPr>
                <w:rFonts w:hint="eastAsia" w:ascii="仿宋_GB2312" w:hAnsi="宋体" w:eastAsia="仿宋_GB2312" w:cs="宋体"/>
                <w:kern w:val="0"/>
                <w:sz w:val="24"/>
              </w:rPr>
              <w:t>或微信二维码：（须附页打印提供并签名确认）</w:t>
            </w:r>
          </w:p>
          <w:p w14:paraId="2E4A88E7">
            <w:pPr>
              <w:widowControl/>
              <w:ind w:left="240" w:hanging="240" w:hangingChars="100"/>
              <w:rPr>
                <w:rFonts w:hint="default" w:ascii="仿宋_GB2312" w:hAnsi="宋体" w:eastAsia="仿宋_GB2312" w:cs="宋体"/>
                <w:kern w:val="0"/>
                <w:sz w:val="24"/>
                <w:lang w:val="en-US" w:eastAsia="zh-CN"/>
              </w:rPr>
            </w:pPr>
            <w:r>
              <w:rPr>
                <w:rFonts w:hint="eastAsia" w:ascii="仿宋_GB2312" w:hAnsi="宋体" w:eastAsia="仿宋_GB2312" w:cs="宋体"/>
                <w:kern w:val="0"/>
                <w:sz w:val="24"/>
                <w:lang w:val="en-US" w:eastAsia="zh-CN"/>
              </w:rPr>
              <w:t>3.短信</w:t>
            </w:r>
          </w:p>
        </w:tc>
      </w:tr>
      <w:tr w14:paraId="282AD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99" w:hRule="atLeast"/>
        </w:trPr>
        <w:tc>
          <w:tcPr>
            <w:tcW w:w="1100" w:type="dxa"/>
            <w:tcBorders>
              <w:bottom w:val="single" w:color="auto" w:sz="4" w:space="0"/>
            </w:tcBorders>
            <w:noWrap w:val="0"/>
            <w:vAlign w:val="top"/>
          </w:tcPr>
          <w:p w14:paraId="0583F415">
            <w:pPr>
              <w:spacing w:line="380" w:lineRule="exact"/>
              <w:jc w:val="center"/>
              <w:rPr>
                <w:rFonts w:hint="eastAsia" w:ascii="仿宋_GB2312" w:hAnsi="ˎ̥" w:eastAsia="仿宋_GB2312"/>
                <w:bCs/>
                <w:smallCaps/>
                <w:sz w:val="24"/>
              </w:rPr>
            </w:pPr>
            <w:r>
              <w:rPr>
                <w:rFonts w:hint="eastAsia" w:ascii="仿宋_GB2312" w:hAnsi="ˎ̥" w:eastAsia="仿宋_GB2312"/>
                <w:bCs/>
                <w:smallCaps/>
                <w:sz w:val="24"/>
              </w:rPr>
              <w:t>对以上</w:t>
            </w:r>
            <w:r>
              <w:rPr>
                <w:rFonts w:hint="eastAsia" w:ascii="仿宋_GB2312" w:hAnsi="ˎ̥" w:eastAsia="仿宋_GB2312"/>
                <w:b/>
                <w:bCs/>
                <w:smallCaps/>
                <w:sz w:val="24"/>
              </w:rPr>
              <w:t>送达地址</w:t>
            </w:r>
            <w:r>
              <w:rPr>
                <w:rFonts w:hint="eastAsia" w:ascii="仿宋_GB2312" w:hAnsi="ˎ̥" w:eastAsia="仿宋_GB2312"/>
                <w:bCs/>
                <w:smallCaps/>
                <w:sz w:val="24"/>
              </w:rPr>
              <w:t>和</w:t>
            </w:r>
            <w:r>
              <w:rPr>
                <w:rFonts w:hint="eastAsia" w:ascii="仿宋_GB2312" w:hAnsi="ˎ̥" w:eastAsia="仿宋_GB2312"/>
                <w:b/>
                <w:bCs/>
                <w:smallCaps/>
                <w:sz w:val="24"/>
              </w:rPr>
              <w:t>送达方式</w:t>
            </w:r>
            <w:r>
              <w:rPr>
                <w:rFonts w:hint="eastAsia" w:ascii="仿宋_GB2312" w:hAnsi="ˎ̥" w:eastAsia="仿宋_GB2312"/>
                <w:bCs/>
                <w:smallCaps/>
                <w:sz w:val="24"/>
              </w:rPr>
              <w:t>的确认</w:t>
            </w:r>
          </w:p>
        </w:tc>
        <w:tc>
          <w:tcPr>
            <w:tcW w:w="8800" w:type="dxa"/>
            <w:gridSpan w:val="6"/>
            <w:tcBorders>
              <w:bottom w:val="single" w:color="auto" w:sz="4" w:space="0"/>
            </w:tcBorders>
            <w:noWrap w:val="0"/>
            <w:vAlign w:val="top"/>
          </w:tcPr>
          <w:p w14:paraId="1A1D03DE">
            <w:pPr>
              <w:spacing w:line="380" w:lineRule="exact"/>
              <w:ind w:firstLine="390"/>
              <w:jc w:val="left"/>
              <w:rPr>
                <w:rFonts w:hint="eastAsia" w:ascii="仿宋_GB2312" w:hAnsi="ˎ̥" w:eastAsia="仿宋_GB2312"/>
                <w:bCs/>
                <w:smallCaps/>
                <w:sz w:val="24"/>
              </w:rPr>
            </w:pPr>
            <w:r>
              <w:rPr>
                <w:rFonts w:hint="eastAsia" w:ascii="仿宋_GB2312" w:hAnsi="ˎ̥" w:eastAsia="仿宋_GB2312"/>
                <w:bCs/>
                <w:smallCaps/>
                <w:sz w:val="24"/>
              </w:rPr>
              <w:t>我（单位）已阅读告知事项及相关法律规定，保证上述地址是真实、有效的。我明白人民法院向以上填写的任一地址进行送达均会发生法律效力，并同意人民法院按上述的送达方式进行送达。</w:t>
            </w:r>
          </w:p>
          <w:p w14:paraId="2699A1EB">
            <w:pPr>
              <w:spacing w:line="380" w:lineRule="exact"/>
              <w:ind w:right="480" w:firstLine="390"/>
              <w:jc w:val="center"/>
              <w:rPr>
                <w:rFonts w:hint="eastAsia" w:ascii="仿宋_GB2312" w:hAnsi="ˎ̥" w:eastAsia="仿宋_GB2312"/>
                <w:bCs/>
                <w:smallCaps/>
                <w:sz w:val="24"/>
              </w:rPr>
            </w:pPr>
            <w:r>
              <w:rPr>
                <w:rFonts w:hint="eastAsia" w:ascii="仿宋_GB2312" w:hAnsi="ˎ̥" w:eastAsia="仿宋_GB2312"/>
                <w:bCs/>
                <w:smallCaps/>
                <w:sz w:val="24"/>
              </w:rPr>
              <w:t>{{律师签名信息}}</w:t>
            </w:r>
          </w:p>
        </w:tc>
      </w:tr>
    </w:tbl>
    <w:tbl>
      <w:tblPr>
        <w:tblStyle w:val="6"/>
        <w:tblpPr w:leftFromText="180" w:rightFromText="180" w:vertAnchor="text" w:tblpX="10710" w:tblpY="-47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tblGrid>
      <w:tr w14:paraId="15880900">
        <w:trPr>
          <w:trHeight w:val="30" w:hRule="atLeast"/>
        </w:trPr>
        <w:tc>
          <w:tcPr>
            <w:tcW w:w="324" w:type="dxa"/>
            <w:noWrap w:val="0"/>
            <w:vAlign w:val="top"/>
          </w:tcPr>
          <w:p w14:paraId="10D5C747">
            <w:pPr>
              <w:spacing w:line="380" w:lineRule="exact"/>
              <w:jc w:val="center"/>
              <w:rPr>
                <w:rFonts w:hint="eastAsia" w:ascii="ˎ̥" w:hAnsi="ˎ̥"/>
                <w:b/>
                <w:bCs/>
                <w:smallCaps/>
                <w:sz w:val="36"/>
                <w:szCs w:val="36"/>
                <w:vertAlign w:val="baseline"/>
              </w:rPr>
            </w:pPr>
          </w:p>
        </w:tc>
      </w:tr>
    </w:tbl>
    <w:p w14:paraId="1C72011D">
      <w:pPr>
        <w:spacing w:line="380" w:lineRule="exact"/>
        <w:jc w:val="center"/>
        <w:rPr>
          <w:rFonts w:hint="eastAsia" w:ascii="ˎ̥" w:hAnsi="ˎ̥"/>
          <w:b/>
          <w:bCs/>
          <w:smallCaps/>
          <w:sz w:val="36"/>
          <w:szCs w:val="36"/>
        </w:rPr>
      </w:pPr>
    </w:p>
    <w:p w14:paraId="700EAB5F">
      <w:pPr>
        <w:spacing w:line="300" w:lineRule="exact"/>
        <w:jc w:val="center"/>
        <w:rPr>
          <w:rFonts w:hint="eastAsia" w:ascii="ˎ̥" w:hAnsi="ˎ̥"/>
          <w:b/>
          <w:bCs/>
          <w:smallCaps/>
          <w:sz w:val="28"/>
          <w:szCs w:val="28"/>
        </w:rPr>
      </w:pPr>
    </w:p>
    <w:p w14:paraId="7FF6F8E3">
      <w:pPr>
        <w:spacing w:line="300" w:lineRule="exact"/>
        <w:jc w:val="center"/>
        <w:rPr>
          <w:rFonts w:hint="eastAsia" w:ascii="ˎ̥" w:hAnsi="ˎ̥"/>
          <w:b/>
          <w:bCs/>
          <w:smallCaps/>
          <w:sz w:val="28"/>
          <w:szCs w:val="28"/>
        </w:rPr>
      </w:pPr>
      <w:r>
        <w:rPr>
          <w:rFonts w:hint="eastAsia" w:ascii="ˎ̥" w:hAnsi="ˎ̥"/>
          <w:b/>
          <w:bCs/>
          <w:smallCaps/>
          <w:sz w:val="28"/>
          <w:szCs w:val="28"/>
        </w:rPr>
        <w:t>中华人民共和国民事诉讼法</w:t>
      </w:r>
      <w:r>
        <w:rPr>
          <w:rFonts w:ascii="ˎ̥" w:hAnsi="ˎ̥"/>
          <w:b/>
          <w:bCs/>
          <w:smallCaps/>
          <w:sz w:val="28"/>
          <w:szCs w:val="28"/>
        </w:rPr>
        <w:t>（节选）</w:t>
      </w:r>
    </w:p>
    <w:p w14:paraId="01A5EFC0">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第九十条　经受送达人同意，人民法院可以采用能够确认其收悉的电子方式送达诉讼文书。通过电子方式送达的判决书、裁定书、调解书，受送达人提出需要纸质文书的，人民法院应当提供。采用前款方式送达的，以送达信息到达受送达人特定系统的日期为送达日期。</w:t>
      </w:r>
    </w:p>
    <w:p w14:paraId="7B21509A">
      <w:pPr>
        <w:spacing w:line="300" w:lineRule="exact"/>
        <w:ind w:firstLine="480" w:firstLineChars="200"/>
        <w:rPr>
          <w:rFonts w:hint="eastAsia" w:ascii="仿宋_GB2312" w:hAnsi="ˎ̥" w:eastAsia="仿宋_GB2312"/>
          <w:bCs/>
          <w:smallCaps/>
          <w:sz w:val="24"/>
        </w:rPr>
      </w:pPr>
    </w:p>
    <w:p w14:paraId="00610C40">
      <w:pPr>
        <w:spacing w:line="300" w:lineRule="exact"/>
        <w:jc w:val="center"/>
        <w:rPr>
          <w:rFonts w:hint="eastAsia" w:ascii="ˎ̥" w:hAnsi="ˎ̥"/>
          <w:b/>
          <w:bCs/>
          <w:smallCaps/>
          <w:sz w:val="28"/>
          <w:szCs w:val="28"/>
        </w:rPr>
      </w:pPr>
      <w:r>
        <w:rPr>
          <w:rFonts w:hint="eastAsia" w:ascii="ˎ̥" w:hAnsi="ˎ̥"/>
          <w:b/>
          <w:bCs/>
          <w:smallCaps/>
          <w:sz w:val="28"/>
          <w:szCs w:val="28"/>
        </w:rPr>
        <w:t>最高人民法院关于进一步加强民事送达工作的若干意见（节选）</w:t>
      </w:r>
    </w:p>
    <w:p w14:paraId="533A903F">
      <w:pPr>
        <w:spacing w:line="300" w:lineRule="exact"/>
        <w:jc w:val="left"/>
        <w:rPr>
          <w:rFonts w:hint="eastAsia" w:ascii="仿宋_GB2312" w:hAnsi="ˎ̥" w:eastAsia="仿宋_GB2312"/>
          <w:bCs/>
          <w:smallCaps/>
          <w:sz w:val="24"/>
        </w:rPr>
      </w:pPr>
      <w:r>
        <w:rPr>
          <w:rFonts w:hint="eastAsia" w:ascii="ˎ̥" w:hAnsi="ˎ̥"/>
          <w:b/>
          <w:bCs/>
          <w:smallCaps/>
          <w:sz w:val="28"/>
          <w:szCs w:val="28"/>
        </w:rPr>
        <w:t xml:space="preserve">    </w:t>
      </w:r>
      <w:r>
        <w:rPr>
          <w:rFonts w:hint="eastAsia" w:ascii="仿宋_GB2312" w:hAnsi="ˎ̥" w:eastAsia="仿宋_GB2312"/>
          <w:bCs/>
          <w:smallCaps/>
          <w:sz w:val="24"/>
        </w:rPr>
        <w:t>七、因当事人提供的送达地址不准确、拒不提供送达地址、送达地址变更未书面告知人民法院，导致民事诉讼文书未能被受送达人实际接收的，直接送达的，民事诉讼文书留在该地址之日为送达之日；邮寄送达的，文书被退回之日为送达之日。</w:t>
      </w:r>
    </w:p>
    <w:p w14:paraId="580FF60C">
      <w:pPr>
        <w:spacing w:line="300" w:lineRule="exact"/>
        <w:jc w:val="left"/>
        <w:rPr>
          <w:rFonts w:ascii="ˎ̥" w:hAnsi="ˎ̥"/>
          <w:b/>
          <w:bCs/>
          <w:smallCaps/>
          <w:sz w:val="28"/>
          <w:szCs w:val="28"/>
        </w:rPr>
      </w:pPr>
    </w:p>
    <w:p w14:paraId="1E8847BC">
      <w:pPr>
        <w:spacing w:line="300" w:lineRule="exact"/>
        <w:rPr>
          <w:rFonts w:hint="eastAsia" w:ascii="ˎ̥" w:hAnsi="ˎ̥"/>
          <w:b/>
          <w:bCs/>
          <w:smallCaps/>
          <w:sz w:val="28"/>
          <w:szCs w:val="28"/>
        </w:rPr>
      </w:pPr>
      <w:r>
        <w:rPr>
          <w:rFonts w:ascii="ˎ̥" w:hAnsi="ˎ̥"/>
          <w:b/>
          <w:bCs/>
          <w:smallCaps/>
          <w:sz w:val="28"/>
          <w:szCs w:val="28"/>
        </w:rPr>
        <w:t>最高人民法院关于以法院专递方式邮寄送达民事诉讼文书的若干规定（节选）</w:t>
      </w:r>
    </w:p>
    <w:p w14:paraId="2F0F2145">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第三条　当事人起诉或者答辩时应当向人民法院提供或者确认自己准确的送达地址，并填写送达地址确认书。当事人拒绝提供的，人民法院应当告知其拒不提供送达地址的不利后果，并记入笔录。</w:t>
      </w:r>
    </w:p>
    <w:p w14:paraId="309A0B12">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第四条  送达地址确认书的内容应当包括送达地址的邮政编码、详细地址以及受送达人的联系电话等内容。</w:t>
      </w:r>
    </w:p>
    <w:p w14:paraId="5BD67B31">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当事人要求对送达地址确认书中的内容保密的，人民法院应当为其保密。</w:t>
      </w:r>
    </w:p>
    <w:p w14:paraId="13E27C16">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当事人在第一审、第二审和执行终结前变更送达地址的，应当及时以书面方式告知人民法院。</w:t>
      </w:r>
    </w:p>
    <w:p w14:paraId="63D512F0">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第五条　当事人拒绝提供自己的送达地址，经人民法院告知后仍不提供的，自然人以其户籍登记中的住所地或者经常居住地为送达地址；法人或者其他组织以其工商登记或者其他依法登记、备案中的住所地为送达地址。</w:t>
      </w:r>
    </w:p>
    <w:p w14:paraId="0759D835">
      <w:pPr>
        <w:spacing w:line="300" w:lineRule="exact"/>
        <w:jc w:val="center"/>
        <w:rPr>
          <w:rFonts w:hint="eastAsia" w:ascii="ˎ̥" w:hAnsi="ˎ̥"/>
          <w:b/>
          <w:bCs/>
          <w:smallCaps/>
          <w:sz w:val="28"/>
          <w:szCs w:val="28"/>
        </w:rPr>
      </w:pPr>
    </w:p>
    <w:p w14:paraId="661575B3">
      <w:pPr>
        <w:spacing w:line="300" w:lineRule="exact"/>
        <w:jc w:val="center"/>
        <w:rPr>
          <w:rFonts w:hint="eastAsia" w:ascii="ˎ̥" w:hAnsi="ˎ̥"/>
          <w:b/>
          <w:bCs/>
          <w:smallCaps/>
          <w:sz w:val="28"/>
          <w:szCs w:val="28"/>
        </w:rPr>
      </w:pPr>
      <w:r>
        <w:rPr>
          <w:rFonts w:hint="eastAsia" w:ascii="ˎ̥" w:hAnsi="ˎ̥"/>
          <w:b/>
          <w:bCs/>
          <w:smallCaps/>
          <w:sz w:val="28"/>
          <w:szCs w:val="28"/>
        </w:rPr>
        <w:t>人民法院在线诉讼规则（节选）</w:t>
      </w:r>
    </w:p>
    <w:p w14:paraId="0F1F2212">
      <w:pPr>
        <w:spacing w:line="300" w:lineRule="exact"/>
        <w:ind w:firstLine="480" w:firstLineChars="200"/>
        <w:rPr>
          <w:rFonts w:hint="eastAsia" w:ascii="仿宋_GB2312" w:hAnsi="ˎ̥" w:eastAsia="仿宋_GB2312"/>
          <w:bCs/>
          <w:smallCaps/>
          <w:sz w:val="24"/>
        </w:rPr>
      </w:pPr>
      <w:r>
        <w:rPr>
          <w:rFonts w:ascii="仿宋_GB2312" w:hAnsi="ˎ̥" w:eastAsia="仿宋_GB2312"/>
          <w:bCs/>
          <w:smallCaps/>
          <w:sz w:val="24"/>
        </w:rPr>
        <w:t>第二十九条</w:t>
      </w:r>
      <w:r>
        <w:rPr>
          <w:rFonts w:hint="eastAsia" w:ascii="仿宋_GB2312" w:hAnsi="ˎ̥" w:eastAsia="仿宋_GB2312"/>
          <w:bCs/>
          <w:smallCaps/>
          <w:sz w:val="24"/>
        </w:rPr>
        <w:t>　经受送达人同意，人民法院可以通过送达平台，向受送达人的电子邮箱、即时通讯账号、诉讼平台专用账号等电子地址，按照法律和司法解释的相关规定送达诉讼文书和证据材料。</w:t>
      </w:r>
    </w:p>
    <w:p w14:paraId="0F0177F7">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具备下列情形之一的，人民法院可以确定受送达人同意电子送达：</w:t>
      </w:r>
    </w:p>
    <w:p w14:paraId="3F21E494">
      <w:pPr>
        <w:numPr>
          <w:ilvl w:val="0"/>
          <w:numId w:val="1"/>
        </w:num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受送达人明确表示同意的；</w:t>
      </w:r>
    </w:p>
    <w:p w14:paraId="48CD95DB">
      <w:pPr>
        <w:numPr>
          <w:ilvl w:val="0"/>
          <w:numId w:val="1"/>
        </w:num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受送达人在诉讼前对适用电子送达已作出约定或者承诺的；</w:t>
      </w:r>
    </w:p>
    <w:p w14:paraId="4619E01B">
      <w:pPr>
        <w:numPr>
          <w:ilvl w:val="0"/>
          <w:numId w:val="1"/>
        </w:num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受送达人在提交的起诉状、上诉状、申请书、答辩状中主动提供用于接收送达的电子地址的；</w:t>
      </w:r>
    </w:p>
    <w:p w14:paraId="4EF8924C">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（四）受送达人通过回复收悉、参加诉讼等方式接受已经完成的电子送达，并且未明确表示不同意电子送达的。</w:t>
      </w:r>
      <w:bookmarkStart w:id="0" w:name="30"/>
      <w:bookmarkEnd w:id="0"/>
    </w:p>
    <w:p w14:paraId="53027E1E">
      <w:pPr>
        <w:spacing w:line="300" w:lineRule="exact"/>
        <w:ind w:firstLine="480" w:firstLineChars="200"/>
        <w:rPr>
          <w:rFonts w:hint="eastAsia" w:ascii="仿宋_GB2312" w:hAnsi="ˎ̥" w:eastAsia="仿宋_GB2312"/>
          <w:bCs/>
          <w:smallCaps/>
          <w:sz w:val="24"/>
        </w:rPr>
      </w:pPr>
      <w:r>
        <w:rPr>
          <w:rFonts w:ascii="仿宋_GB2312" w:hAnsi="ˎ̥" w:eastAsia="仿宋_GB2312"/>
          <w:bCs/>
          <w:smallCaps/>
          <w:sz w:val="24"/>
        </w:rPr>
        <w:t>第三十条</w:t>
      </w:r>
      <w:r>
        <w:rPr>
          <w:rFonts w:hint="eastAsia" w:ascii="仿宋_GB2312" w:hAnsi="ˎ̥" w:eastAsia="仿宋_GB2312"/>
          <w:bCs/>
          <w:smallCaps/>
          <w:sz w:val="24"/>
        </w:rPr>
        <w:t>　人民法院可以通过电话确认、诉讼平台在线确认、线下发送电子送达确认书等方式，确认受送达人是否同意电子送达，以及受送达人接收电子送达的具体方式和地址，并告知电子送达的适用范围、效力、送达地址变更方式以及其他需告知的送达事项。</w:t>
      </w:r>
      <w:bookmarkStart w:id="1" w:name="31"/>
      <w:bookmarkEnd w:id="1"/>
    </w:p>
    <w:p w14:paraId="7DC80D81">
      <w:pPr>
        <w:spacing w:line="300" w:lineRule="exact"/>
        <w:ind w:firstLine="480" w:firstLineChars="200"/>
        <w:rPr>
          <w:rFonts w:hint="eastAsia" w:ascii="仿宋_GB2312" w:hAnsi="ˎ̥" w:eastAsia="仿宋_GB2312"/>
          <w:bCs/>
          <w:smallCaps/>
          <w:sz w:val="24"/>
        </w:rPr>
      </w:pPr>
      <w:r>
        <w:rPr>
          <w:rFonts w:ascii="仿宋_GB2312" w:hAnsi="ˎ̥" w:eastAsia="仿宋_GB2312"/>
          <w:bCs/>
          <w:smallCaps/>
          <w:sz w:val="24"/>
        </w:rPr>
        <w:t>第三十一条</w:t>
      </w:r>
      <w:r>
        <w:rPr>
          <w:rFonts w:hint="eastAsia" w:ascii="仿宋_GB2312" w:hAnsi="ˎ̥" w:eastAsia="仿宋_GB2312"/>
          <w:bCs/>
          <w:smallCaps/>
          <w:sz w:val="24"/>
        </w:rPr>
        <w:t>　人民法院向受送达人主动提供或者确认的电子地址送达的，送达信息到达电子地址所在系统时，即为送达。</w:t>
      </w:r>
    </w:p>
    <w:p w14:paraId="36F76357">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受送达人未提供或者未确认有效电子送达地址，人民法院向能够确认为受送达人本人的电子地址送达的，根据下列情形确定送达是否生效：</w:t>
      </w:r>
    </w:p>
    <w:p w14:paraId="0FE0BD61">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（一）受送达人回复已收悉，或者根据送达内容已作出相应诉讼行为的，即为完成有效送达；</w:t>
      </w:r>
    </w:p>
    <w:p w14:paraId="7863C425">
      <w:pPr>
        <w:spacing w:line="300" w:lineRule="exact"/>
        <w:ind w:firstLine="480" w:firstLineChars="200"/>
        <w:rPr>
          <w:rFonts w:hint="eastAsia" w:ascii="仿宋_GB2312" w:hAnsi="ˎ̥" w:eastAsia="仿宋_GB2312"/>
          <w:bCs/>
          <w:smallCaps/>
          <w:sz w:val="24"/>
        </w:rPr>
      </w:pPr>
      <w:r>
        <w:rPr>
          <w:rFonts w:hint="eastAsia" w:ascii="仿宋_GB2312" w:hAnsi="ˎ̥" w:eastAsia="仿宋_GB2312"/>
          <w:bCs/>
          <w:smallCaps/>
          <w:sz w:val="24"/>
        </w:rPr>
        <w:t>（二）受送达人的电子地址所在系统反馈受送达人已阅知，或者有其他证据可以证明受送达人已经收悉的，推定完成有效送达，但受送达人能够证明存在系统错误、送达地址非本人使用或者非本人阅知等未收悉送达内容的情形除外。</w:t>
      </w:r>
    </w:p>
    <w:p w14:paraId="462EB5E6">
      <w:pPr>
        <w:spacing w:line="300" w:lineRule="exact"/>
        <w:ind w:firstLine="480" w:firstLineChars="200"/>
        <w:rPr>
          <w:rFonts w:hint="eastAsia" w:ascii="仿宋_GB2312" w:hAnsi="ˎ̥" w:eastAsia="仿宋_GB2312"/>
          <w:bCs/>
          <w:smallCaps/>
          <w:sz w:val="28"/>
          <w:szCs w:val="28"/>
        </w:rPr>
      </w:pPr>
      <w:r>
        <w:rPr>
          <w:rFonts w:hint="eastAsia" w:ascii="仿宋_GB2312" w:hAnsi="ˎ̥" w:eastAsia="仿宋_GB2312"/>
          <w:bCs/>
          <w:smallCaps/>
          <w:sz w:val="24"/>
        </w:rPr>
        <w:t>对同一内容的送达材料采取多种电子方式发送受送达人的，以最先完成的有效送达时间作为送达生效时间。</w:t>
      </w:r>
      <w:bookmarkStart w:id="2" w:name="32"/>
      <w:bookmarkEnd w:id="2"/>
    </w:p>
    <w:sectPr>
      <w:footerReference r:id="rId3" w:type="default"/>
      <w:pgSz w:w="11906" w:h="16838"/>
      <w:pgMar w:top="1247" w:right="1134" w:bottom="340" w:left="1304" w:header="851" w:footer="28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仿宋_GB2312">
    <w:altName w:val="方正仿宋_GBK"/>
    <w:panose1 w:val="02010609030101010101"/>
    <w:charset w:val="00"/>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ˎ̥">
    <w:altName w:val="苹方-简"/>
    <w:panose1 w:val="00000000000000000000"/>
    <w:charset w:val="00"/>
    <w:family w:val="roman"/>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47091">
    <w:pPr>
      <w:pStyle w:val="3"/>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2</w:t>
    </w:r>
    <w:r>
      <w:rPr>
        <w:kern w:val="0"/>
        <w:szCs w:val="21"/>
      </w:rPr>
      <w:fldChar w:fldCharType="end"/>
    </w:r>
    <w:r>
      <w:rPr>
        <w:rFonts w:hint="eastAsia"/>
        <w:kern w:val="0"/>
        <w:szCs w:val="21"/>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79F5C0"/>
    <w:multiLevelType w:val="singleLevel"/>
    <w:tmpl w:val="B679F5C0"/>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D4D"/>
    <w:rsid w:val="00040DB5"/>
    <w:rsid w:val="000815B3"/>
    <w:rsid w:val="00091A38"/>
    <w:rsid w:val="00093576"/>
    <w:rsid w:val="000E4433"/>
    <w:rsid w:val="00120660"/>
    <w:rsid w:val="00123D3E"/>
    <w:rsid w:val="001304D8"/>
    <w:rsid w:val="00163590"/>
    <w:rsid w:val="00172DB2"/>
    <w:rsid w:val="001770BF"/>
    <w:rsid w:val="001E1470"/>
    <w:rsid w:val="001E4E10"/>
    <w:rsid w:val="001F0E8E"/>
    <w:rsid w:val="002003F5"/>
    <w:rsid w:val="0020660A"/>
    <w:rsid w:val="00233184"/>
    <w:rsid w:val="00234948"/>
    <w:rsid w:val="00251517"/>
    <w:rsid w:val="002825D8"/>
    <w:rsid w:val="002B6317"/>
    <w:rsid w:val="002B66C3"/>
    <w:rsid w:val="002B6C3B"/>
    <w:rsid w:val="002E1D11"/>
    <w:rsid w:val="002E5A00"/>
    <w:rsid w:val="00315115"/>
    <w:rsid w:val="00365AA9"/>
    <w:rsid w:val="003679BF"/>
    <w:rsid w:val="00375074"/>
    <w:rsid w:val="0039057B"/>
    <w:rsid w:val="003A0689"/>
    <w:rsid w:val="003B3178"/>
    <w:rsid w:val="003D265F"/>
    <w:rsid w:val="003D5F7E"/>
    <w:rsid w:val="003E2F7A"/>
    <w:rsid w:val="004040CA"/>
    <w:rsid w:val="00420CFE"/>
    <w:rsid w:val="00446FDC"/>
    <w:rsid w:val="00467779"/>
    <w:rsid w:val="00480171"/>
    <w:rsid w:val="004C7D4D"/>
    <w:rsid w:val="004D1A60"/>
    <w:rsid w:val="004D7647"/>
    <w:rsid w:val="004E5043"/>
    <w:rsid w:val="00502A46"/>
    <w:rsid w:val="005267F8"/>
    <w:rsid w:val="00535521"/>
    <w:rsid w:val="005671CB"/>
    <w:rsid w:val="005709A9"/>
    <w:rsid w:val="00573EE7"/>
    <w:rsid w:val="005815AC"/>
    <w:rsid w:val="005842D7"/>
    <w:rsid w:val="00596FC4"/>
    <w:rsid w:val="005979CE"/>
    <w:rsid w:val="005C6C60"/>
    <w:rsid w:val="005D0FFB"/>
    <w:rsid w:val="005D646F"/>
    <w:rsid w:val="005D7624"/>
    <w:rsid w:val="005F1B9A"/>
    <w:rsid w:val="005F1CBA"/>
    <w:rsid w:val="00637C9E"/>
    <w:rsid w:val="00643D4C"/>
    <w:rsid w:val="00662500"/>
    <w:rsid w:val="0066427B"/>
    <w:rsid w:val="006664FF"/>
    <w:rsid w:val="006E154D"/>
    <w:rsid w:val="006E38AD"/>
    <w:rsid w:val="006F1DBE"/>
    <w:rsid w:val="006F4C2C"/>
    <w:rsid w:val="00703AF9"/>
    <w:rsid w:val="007346AB"/>
    <w:rsid w:val="007601E6"/>
    <w:rsid w:val="0077158D"/>
    <w:rsid w:val="00783DB4"/>
    <w:rsid w:val="007865FA"/>
    <w:rsid w:val="00787469"/>
    <w:rsid w:val="007D2083"/>
    <w:rsid w:val="007D2975"/>
    <w:rsid w:val="007D2FF8"/>
    <w:rsid w:val="008148AC"/>
    <w:rsid w:val="00817D2A"/>
    <w:rsid w:val="00821D5D"/>
    <w:rsid w:val="008239D7"/>
    <w:rsid w:val="00841A95"/>
    <w:rsid w:val="008463F2"/>
    <w:rsid w:val="00882BDB"/>
    <w:rsid w:val="00887E0B"/>
    <w:rsid w:val="008B54F1"/>
    <w:rsid w:val="008E0A26"/>
    <w:rsid w:val="008E3E75"/>
    <w:rsid w:val="008F67BB"/>
    <w:rsid w:val="009124CE"/>
    <w:rsid w:val="0095136D"/>
    <w:rsid w:val="00951BA0"/>
    <w:rsid w:val="00994A4B"/>
    <w:rsid w:val="009A14FA"/>
    <w:rsid w:val="009A2D45"/>
    <w:rsid w:val="009E2CEA"/>
    <w:rsid w:val="009E782E"/>
    <w:rsid w:val="00A03735"/>
    <w:rsid w:val="00A20497"/>
    <w:rsid w:val="00A32B49"/>
    <w:rsid w:val="00A61CA1"/>
    <w:rsid w:val="00A62F7A"/>
    <w:rsid w:val="00A747E5"/>
    <w:rsid w:val="00A77E9D"/>
    <w:rsid w:val="00A81577"/>
    <w:rsid w:val="00A974CA"/>
    <w:rsid w:val="00AA6339"/>
    <w:rsid w:val="00AB4074"/>
    <w:rsid w:val="00AB53E2"/>
    <w:rsid w:val="00AC1773"/>
    <w:rsid w:val="00AF6CE7"/>
    <w:rsid w:val="00B00EE7"/>
    <w:rsid w:val="00B02A2E"/>
    <w:rsid w:val="00B03254"/>
    <w:rsid w:val="00B205FF"/>
    <w:rsid w:val="00B36AF7"/>
    <w:rsid w:val="00B405A4"/>
    <w:rsid w:val="00B6023C"/>
    <w:rsid w:val="00B64C05"/>
    <w:rsid w:val="00B80C1C"/>
    <w:rsid w:val="00B8192B"/>
    <w:rsid w:val="00BC38E6"/>
    <w:rsid w:val="00BC47B4"/>
    <w:rsid w:val="00BD40B4"/>
    <w:rsid w:val="00BD4B78"/>
    <w:rsid w:val="00C05D51"/>
    <w:rsid w:val="00C12782"/>
    <w:rsid w:val="00C3700C"/>
    <w:rsid w:val="00C823BD"/>
    <w:rsid w:val="00C94C0D"/>
    <w:rsid w:val="00C952FF"/>
    <w:rsid w:val="00CA0BB7"/>
    <w:rsid w:val="00CB7188"/>
    <w:rsid w:val="00CC1AAD"/>
    <w:rsid w:val="00CC4FEF"/>
    <w:rsid w:val="00D06E4E"/>
    <w:rsid w:val="00D4524A"/>
    <w:rsid w:val="00D46B17"/>
    <w:rsid w:val="00D52AA1"/>
    <w:rsid w:val="00D6671C"/>
    <w:rsid w:val="00D8109A"/>
    <w:rsid w:val="00DA7BB0"/>
    <w:rsid w:val="00E15C27"/>
    <w:rsid w:val="00E17E63"/>
    <w:rsid w:val="00E51862"/>
    <w:rsid w:val="00E62B83"/>
    <w:rsid w:val="00E67ADD"/>
    <w:rsid w:val="00EA04A1"/>
    <w:rsid w:val="00EA1943"/>
    <w:rsid w:val="00EB7230"/>
    <w:rsid w:val="00ED778F"/>
    <w:rsid w:val="00EE0EC4"/>
    <w:rsid w:val="00EF02DE"/>
    <w:rsid w:val="00EF3528"/>
    <w:rsid w:val="00F055C6"/>
    <w:rsid w:val="00F22401"/>
    <w:rsid w:val="00F22A86"/>
    <w:rsid w:val="00F51705"/>
    <w:rsid w:val="00F51F3A"/>
    <w:rsid w:val="00F57DEE"/>
    <w:rsid w:val="00F64A60"/>
    <w:rsid w:val="00F64CAD"/>
    <w:rsid w:val="00F75DDD"/>
    <w:rsid w:val="00F930C6"/>
    <w:rsid w:val="00F97176"/>
    <w:rsid w:val="00F9721B"/>
    <w:rsid w:val="00FA56BB"/>
    <w:rsid w:val="00FA5D1A"/>
    <w:rsid w:val="00FA67E4"/>
    <w:rsid w:val="00FC0338"/>
    <w:rsid w:val="03D93A77"/>
    <w:rsid w:val="04AE720E"/>
    <w:rsid w:val="06D176FC"/>
    <w:rsid w:val="06F76167"/>
    <w:rsid w:val="0FA738A8"/>
    <w:rsid w:val="0FC73DE0"/>
    <w:rsid w:val="12C80283"/>
    <w:rsid w:val="13C0203D"/>
    <w:rsid w:val="18403AAC"/>
    <w:rsid w:val="18ED3955"/>
    <w:rsid w:val="1B4D48F7"/>
    <w:rsid w:val="1E4566EA"/>
    <w:rsid w:val="220E58A0"/>
    <w:rsid w:val="224E6A76"/>
    <w:rsid w:val="23A140AE"/>
    <w:rsid w:val="23AB70FF"/>
    <w:rsid w:val="23AC5E0C"/>
    <w:rsid w:val="23E23840"/>
    <w:rsid w:val="25145EE2"/>
    <w:rsid w:val="277E500D"/>
    <w:rsid w:val="28653F49"/>
    <w:rsid w:val="286F72B9"/>
    <w:rsid w:val="2CE0723E"/>
    <w:rsid w:val="30BED3FC"/>
    <w:rsid w:val="32024ACC"/>
    <w:rsid w:val="37D84F37"/>
    <w:rsid w:val="38DE0174"/>
    <w:rsid w:val="3C5319CA"/>
    <w:rsid w:val="3D94372E"/>
    <w:rsid w:val="3E0374EC"/>
    <w:rsid w:val="3E1A46FC"/>
    <w:rsid w:val="43532A6C"/>
    <w:rsid w:val="483B5850"/>
    <w:rsid w:val="5910379A"/>
    <w:rsid w:val="5AA5434D"/>
    <w:rsid w:val="5FCE5353"/>
    <w:rsid w:val="5FCF2B9B"/>
    <w:rsid w:val="6106069F"/>
    <w:rsid w:val="66E97D07"/>
    <w:rsid w:val="66FF3716"/>
    <w:rsid w:val="67177802"/>
    <w:rsid w:val="67920622"/>
    <w:rsid w:val="6CB550B8"/>
    <w:rsid w:val="6DF65974"/>
    <w:rsid w:val="6ECD0256"/>
    <w:rsid w:val="6FF626EB"/>
    <w:rsid w:val="711A8B74"/>
    <w:rsid w:val="73161314"/>
    <w:rsid w:val="74EA2CC2"/>
    <w:rsid w:val="75BC1BA9"/>
    <w:rsid w:val="760D7547"/>
    <w:rsid w:val="768A4E42"/>
    <w:rsid w:val="777E33B4"/>
    <w:rsid w:val="7782008E"/>
    <w:rsid w:val="798573B9"/>
    <w:rsid w:val="7A2A3F77"/>
    <w:rsid w:val="7BDF0E9C"/>
    <w:rsid w:val="7DDD8211"/>
    <w:rsid w:val="8F6B9EE4"/>
    <w:rsid w:val="ADF7358C"/>
    <w:rsid w:val="BADE3067"/>
    <w:rsid w:val="BAF9D453"/>
    <w:rsid w:val="BAFDDD50"/>
    <w:rsid w:val="BB7C1DCD"/>
    <w:rsid w:val="BCF74226"/>
    <w:rsid w:val="BF8D06F1"/>
    <w:rsid w:val="EAD787BF"/>
    <w:rsid w:val="EE37C6FD"/>
    <w:rsid w:val="EF9ED37B"/>
    <w:rsid w:val="F6FB786F"/>
    <w:rsid w:val="FE3D5378"/>
    <w:rsid w:val="FFA35BF6"/>
    <w:rsid w:val="FFC8307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link w:val="8"/>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批注框文本 Char"/>
    <w:basedOn w:val="7"/>
    <w:link w:val="2"/>
    <w:uiPriority w:val="0"/>
    <w:rPr>
      <w:kern w:val="2"/>
      <w:sz w:val="18"/>
      <w:szCs w:val="18"/>
    </w:rPr>
  </w:style>
  <w:style w:type="character" w:customStyle="1" w:styleId="9">
    <w:name w:val="页眉 Char"/>
    <w:basedOn w:val="7"/>
    <w:link w:val="4"/>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3</Pages>
  <Words>346</Words>
  <Characters>1976</Characters>
  <Lines>16</Lines>
  <Paragraphs>4</Paragraphs>
  <TotalTime>3</TotalTime>
  <ScaleCrop>false</ScaleCrop>
  <LinksUpToDate>false</LinksUpToDate>
  <CharactersWithSpaces>2318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2024-03-07T07:22:00Z</dcterms:created>
  <dc:creator>梁美华</dc:creator>
  <cp:lastModifiedBy>Lawyer</cp:lastModifiedBy>
  <cp:lastPrinted>2022-04-01T10:14:00Z</cp:lastPrinted>
  <dcterms:modified xsi:type="dcterms:W3CDTF">2026-05-17T13:57:32Z</dcterms:modified>
  <dc:title>广东省东莞市第二人民法院</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DCD4D4081A8B7B2C3756096A15EA6D7B_43</vt:lpwstr>
  </property>
</Properties>
</file>