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SOFIE Creative Brief</w:t>
      </w:r>
    </w:p>
    <w:p>
      <w:pPr>
        <w:pStyle w:val="Heading2"/>
      </w:pPr>
      <w:r>
        <w:t>Section 1 — Brand Information</w:t>
      </w:r>
    </w:p>
    <w:p>
      <w:r>
        <w:t xml:space="preserve">Brand Name: </w:t>
      </w:r>
    </w:p>
    <w:p>
      <w:r>
        <w:t xml:space="preserve">Industry: </w:t>
      </w:r>
    </w:p>
    <w:p>
      <w:r>
        <w:t xml:space="preserve">Brand Guidelines Link: </w:t>
      </w:r>
    </w:p>
    <w:p>
      <w:pPr>
        <w:pStyle w:val="Heading2"/>
      </w:pPr>
      <w:r>
        <w:t>Section 2 — Job Details</w:t>
      </w:r>
    </w:p>
    <w:p>
      <w:r>
        <w:t xml:space="preserve">Job Title: </w:t>
      </w:r>
    </w:p>
    <w:p>
      <w:r>
        <w:t xml:space="preserve">Platform: </w:t>
      </w:r>
    </w:p>
    <w:p>
      <w:r>
        <w:t xml:space="preserve">Output Sizes: </w:t>
      </w:r>
    </w:p>
    <w:p>
      <w:pPr>
        <w:pStyle w:val="Heading2"/>
      </w:pPr>
      <w:r>
        <w:t>Section 3 — Campaign Context</w:t>
      </w:r>
    </w:p>
    <w:p>
      <w:r>
        <w:t xml:space="preserve">Campaign Objective: </w:t>
      </w:r>
    </w:p>
    <w:p>
      <w:r>
        <w:t xml:space="preserve">Key Message: </w:t>
      </w:r>
    </w:p>
    <w:p>
      <w:r>
        <w:t xml:space="preserve">Call to Action Text: </w:t>
      </w:r>
    </w:p>
    <w:p>
      <w:pPr>
        <w:pStyle w:val="Heading2"/>
      </w:pPr>
      <w:r>
        <w:t>Section 4 — Asset Links</w:t>
      </w:r>
    </w:p>
    <w:p>
      <w:r>
        <w:t xml:space="preserve">Logo Link: </w:t>
      </w:r>
    </w:p>
    <w:p>
      <w:r>
        <w:t xml:space="preserve">Brand Font Link: </w:t>
      </w:r>
    </w:p>
    <w:p>
      <w:r>
        <w:t xml:space="preserve">Hero Image Link: </w:t>
      </w:r>
    </w:p>
    <w:p>
      <w:r>
        <w:t xml:space="preserve">Design Elements Link: </w:t>
      </w:r>
    </w:p>
    <w:p>
      <w:r>
        <w:t xml:space="preserve">Brand Colour Palette: </w:t>
      </w:r>
    </w:p>
    <w:p>
      <w:pPr>
        <w:pStyle w:val="Heading2"/>
      </w:pPr>
      <w:r>
        <w:t>Section 5 — Layout References</w:t>
      </w:r>
    </w:p>
    <w:p>
      <w:r>
        <w:t xml:space="preserve">Own Past Ad Link: </w:t>
      </w:r>
    </w:p>
    <w:p>
      <w:r>
        <w:t xml:space="preserve">External Layout Reference Link: </w:t>
      </w:r>
    </w:p>
    <w:p>
      <w:r>
        <w:t xml:space="preserve">Mood Reference Link: </w:t>
      </w:r>
    </w:p>
    <w:p>
      <w:pPr>
        <w:pStyle w:val="Heading2"/>
      </w:pPr>
      <w:r>
        <w:t>Section 6 — Copy</w:t>
      </w:r>
    </w:p>
    <w:p>
      <w:r>
        <w:t xml:space="preserve">Headline Text: </w:t>
      </w:r>
    </w:p>
    <w:p>
      <w:r>
        <w:t xml:space="preserve">Sub-copy: </w:t>
      </w:r>
    </w:p>
    <w:p>
      <w:r>
        <w:t xml:space="preserve">Mandatory Inclusions: </w:t>
      </w:r>
    </w:p>
    <w:p>
      <w:pPr>
        <w:pStyle w:val="Heading2"/>
      </w:pPr>
      <w:r>
        <w:t>Section 7 — Restrictions</w:t>
      </w:r>
    </w:p>
    <w:p>
      <w:r>
        <w:t xml:space="preserve">What Not To Do: </w:t>
      </w:r>
    </w:p>
    <w:p>
      <w:r>
        <w:t xml:space="preserve">Colours To Avoid: </w:t>
      </w:r>
    </w:p>
    <w:p>
      <w:r>
        <w:t xml:space="preserve">Elements To Avoid: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