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THeiti" w:hAnsi="STHeiti" w:eastAsia="STHeiti"/>
          <w:b/>
          <w:color w:val="12365A"/>
          <w:sz w:val="64"/>
        </w:rPr>
        <w:t>聚信多系统业务平台</w:t>
      </w:r>
    </w:p>
    <w:p>
      <w:pPr>
        <w:jc w:val="center"/>
      </w:pPr>
      <w:r>
        <w:rPr>
          <w:rFonts w:ascii="STHeiti" w:hAnsi="STHeiti" w:eastAsia="STHeiti"/>
          <w:b/>
          <w:color w:val="1F6FB2"/>
          <w:sz w:val="50"/>
        </w:rPr>
        <w:t>高层设计文档</w:t>
      </w:r>
    </w:p>
    <w:p>
      <w:pPr>
        <w:jc w:val="center"/>
      </w:pPr>
      <w:r>
        <w:rPr>
          <w:rFonts w:ascii="STHeiti" w:hAnsi="STHeiti" w:eastAsia="STHeiti"/>
          <w:color w:val="30A6C7"/>
          <w:sz w:val="26"/>
        </w:rPr>
        <w:t>━━━━━━━━━━━━━━━━━━━━━━━━━━━━</w:t>
      </w:r>
    </w:p>
    <w:p/>
    <w:p>
      <w:pPr>
        <w:jc w:val="center"/>
      </w:pPr>
      <w:r>
        <w:rPr>
          <w:rFonts w:ascii="STHeiti" w:hAnsi="STHeiti" w:eastAsia="STHeiti"/>
          <w:color w:val="263646"/>
          <w:sz w:val="23"/>
        </w:rPr>
        <w:t>文档状态：已确认设计</w:t>
      </w:r>
    </w:p>
    <w:p>
      <w:pPr>
        <w:jc w:val="center"/>
      </w:pPr>
      <w:r>
        <w:rPr>
          <w:rFonts w:ascii="STHeiti" w:hAnsi="STHeiti" w:eastAsia="STHeiti"/>
          <w:color w:val="263646"/>
          <w:sz w:val="23"/>
        </w:rPr>
        <w:t>编制日期：2026-06-13</w:t>
      </w:r>
    </w:p>
    <w:p>
      <w:pPr>
        <w:jc w:val="center"/>
      </w:pPr>
      <w:r>
        <w:rPr>
          <w:rFonts w:ascii="STHeiti" w:hAnsi="STHeiti" w:eastAsia="STHeiti"/>
          <w:color w:val="263646"/>
          <w:sz w:val="23"/>
        </w:rPr>
        <w:t>适用版本：5.72.0 及后续兼容版本</w:t>
      </w:r>
    </w:p>
    <w:p>
      <w:pPr>
        <w:jc w:val="center"/>
      </w:pPr>
      <w:r>
        <w:rPr>
          <w:rFonts w:ascii="STHeiti" w:hAnsi="STHeiti" w:eastAsia="STHeiti"/>
          <w:color w:val="263646"/>
          <w:sz w:val="23"/>
        </w:rPr>
        <w:t>主要读者：技术负责人、研发、测试、部署与运维交接人员</w:t>
      </w:r>
    </w:p>
    <w:p/>
    <w:p/>
    <w:p/>
    <w:p/>
    <w:p/>
    <w:p>
      <w:pPr>
        <w:jc w:val="center"/>
      </w:pPr>
      <w:r>
        <w:rPr>
          <w:rFonts w:ascii="STHeiti" w:hAnsi="STHeiti" w:eastAsia="STHeiti"/>
          <w:color w:val="667788"/>
          <w:sz w:val="19"/>
        </w:rPr>
        <w:t>现状基准：根 docker-compose.yml、auth/portal-routing.js 与各系统当前实现</w:t>
      </w:r>
    </w:p>
    <w:p>
      <w:r>
        <w:br w:type="page"/>
      </w:r>
    </w:p>
    <w:p>
      <w:r>
        <w:rPr>
          <w:rFonts w:ascii="STHeiti" w:hAnsi="STHeiti" w:eastAsia="STHeiti"/>
          <w:b/>
          <w:color w:val="12365A"/>
          <w:sz w:val="44"/>
        </w:rP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1. 文档定位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10. 安全设计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2. 建设目标与非目标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11. 可靠性与故障处理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3. 全局架构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12. 可观测性与运维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4. 平台能力设计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13. 测试与质量保障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5. 现役系统设计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14. 运维交接清单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6. 统一系统总表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15. 架构演进路线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7. 数据架构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16. 历史兼容资产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8. 集成架构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17. 快速索引</w:t>
            </w:r>
          </w:p>
        </w:tc>
      </w:tr>
      <w:tr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9. 部署架构</w:t>
            </w:r>
          </w:p>
        </w:tc>
        <w:tc>
          <w:tcPr>
            <w:tcW w:type="dxa" w:w="4535"/>
          </w:tcPr>
          <w:p>
            <w:pPr>
              <w:spacing w:after="100"/>
            </w:pPr>
            <w:r>
              <w:rPr>
                <w:rFonts w:ascii="STHeiti" w:hAnsi="STHeiti" w:eastAsia="STHeiti"/>
                <w:color w:val="263646"/>
                <w:sz w:val="21"/>
              </w:rPr>
              <w:t>18. 设计结论</w:t>
            </w:r>
          </w:p>
        </w:tc>
      </w:tr>
    </w:tbl>
    <w:p>
      <w:r>
        <w:br w:type="page"/>
      </w:r>
    </w:p>
    <w:p>
      <w:r>
        <w:rPr>
          <w:rFonts w:ascii="STHeiti" w:hAnsi="STHeiti" w:eastAsia="STHeiti"/>
          <w:color w:val="263646"/>
          <w:sz w:val="21"/>
        </w:rPr>
        <w:t>&gt;</w:t>
      </w:r>
    </w:p>
    <w:p>
      <w:r>
        <w:rPr>
          <w:rFonts w:ascii="STHeiti" w:hAnsi="STHeiti" w:eastAsia="STHeiti"/>
          <w:color w:val="263646"/>
          <w:sz w:val="21"/>
        </w:rPr>
        <w:t>&gt;</w:t>
      </w:r>
    </w:p>
    <w:p>
      <w:r>
        <w:rPr>
          <w:rFonts w:ascii="STHeiti" w:hAnsi="STHeiti" w:eastAsia="STHeiti"/>
          <w:color w:val="263646"/>
          <w:sz w:val="21"/>
        </w:rPr>
        <w:t>&gt;</w:t>
      </w:r>
    </w:p>
    <w:p>
      <w:r>
        <w:rPr>
          <w:rFonts w:ascii="STHeiti" w:hAnsi="STHeiti" w:eastAsia="STHeiti"/>
          <w:color w:val="263646"/>
          <w:sz w:val="21"/>
        </w:rPr>
        <w:t>&gt;</w:t>
      </w:r>
    </w:p>
    <w:p>
      <w:r>
        <w:br w:type="page"/>
      </w:r>
    </w:p>
    <w:p>
      <w:pPr>
        <w:pStyle w:val="Heading2"/>
      </w:pPr>
      <w:r>
        <w:t>1. 文档定位</w:t>
      </w:r>
    </w:p>
    <w:p>
      <w:r>
        <w:rPr>
          <w:rFonts w:ascii="STHeiti" w:hAnsi="STHeiti" w:eastAsia="STHeiti"/>
          <w:color w:val="263646"/>
          <w:sz w:val="21"/>
        </w:rPr>
        <w:t>本文描述聚信多系统业务平台的当前高层架构、系统边界、数据关系、部署方式和运维要求，并给出后续演进建议。</w:t>
      </w:r>
    </w:p>
    <w:p>
      <w:r>
        <w:rPr>
          <w:rFonts w:ascii="STHeiti" w:hAnsi="STHeiti" w:eastAsia="STHeiti"/>
          <w:color w:val="263646"/>
          <w:sz w:val="21"/>
        </w:rPr>
        <w:t>本文采用以下口径：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现役业务系统</w:t>
      </w:r>
      <w:r>
        <w:rPr>
          <w:rFonts w:ascii="STHeiti" w:hAnsi="STHeiti" w:eastAsia="STHeiti"/>
          <w:color w:val="263646"/>
          <w:sz w:val="21"/>
        </w:rPr>
        <w:t>：统一门户当前可展示和授权的 11 个业务系统。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平台能力</w:t>
      </w:r>
      <w:r>
        <w:rPr>
          <w:rFonts w:ascii="STHeiti" w:hAnsi="STHeiti" w:eastAsia="STHeiti"/>
          <w:color w:val="263646"/>
          <w:sz w:val="21"/>
        </w:rPr>
        <w:t>：统一认证与门户、管理中心、审计中心、共享数据库和中间件。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兼容资产</w:t>
      </w:r>
      <w:r>
        <w:rPr>
          <w:rFonts w:ascii="STHeiti" w:hAnsi="STHeiti" w:eastAsia="STHeiti"/>
          <w:color w:val="263646"/>
          <w:sz w:val="21"/>
        </w:rPr>
        <w:t>：仓库和 Compose 中仍保留，但不再作为独立门户业务入口的历史系统。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未来建议</w:t>
      </w:r>
      <w:r>
        <w:rPr>
          <w:rFonts w:ascii="STHeiti" w:hAnsi="STHeiti" w:eastAsia="STHeiti"/>
          <w:color w:val="263646"/>
          <w:sz w:val="21"/>
        </w:rPr>
        <w:t>：尚未完全实现的目标能力，均使用“建议”或“目标态”标识，不与当前事实混写。</w:t>
      </w:r>
    </w:p>
    <w:p>
      <w:r>
        <w:rPr>
          <w:rFonts w:ascii="STHeiti" w:hAnsi="STHeiti" w:eastAsia="STHeiti"/>
          <w:color w:val="263646"/>
          <w:sz w:val="21"/>
        </w:rPr>
        <w:t>当前门户的 11 个业务系统为：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授权到期提醒系统（Reminder）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交付系统（Delivery）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CMDB 系统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库存管理系统（Inventory）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设备流转系统（Device Flow）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文档管理系统（FAQ）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标书协同制作系统（Tender）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培训考试系统（Train Exam）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提示词管理中心（Prompt Center）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软件成分分析平台（SCA）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统一大屏展示中心（Big Screen）</w:t>
      </w:r>
    </w:p>
    <w:p>
      <w:r>
        <w:rPr>
          <w:rFonts w:ascii="STHeiti" w:hAnsi="STHeiti" w:eastAsia="STHeiti"/>
          <w:color w:val="263646"/>
          <w:sz w:val="21"/>
        </w:rPr>
        <w:t>平台还提供两个专用中心：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聚信管理后台（Admin Center）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聚信审计中心（Audit Center）</w:t>
      </w:r>
    </w:p>
    <w:p>
      <w:r>
        <w:br w:type="page"/>
      </w:r>
    </w:p>
    <w:p>
      <w:pPr>
        <w:pStyle w:val="Heading2"/>
      </w:pPr>
      <w:r>
        <w:t>2. 建设目标与非目标</w:t>
      </w:r>
    </w:p>
    <w:p>
      <w:pPr>
        <w:pStyle w:val="Heading3"/>
      </w:pPr>
      <w:r>
        <w:t>2.1 建设目标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以统一登录门户承载所有现役系统入口和访问授权。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以明确的系统键、服务边界和数据库边界隔离业务域。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允许不同技术栈按业务特点独立演进，同时保持统一认证和部署规范。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 Docker Compose 提供单机或单节点环境的一键部署能力。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为技术负责人提供系统关系全景，为运维人员提供可执行的交接基线。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识别当前共享资源、兼容资产和架构风险，形成后续治理路线。</w:t>
      </w:r>
    </w:p>
    <w:p>
      <w:pPr>
        <w:pStyle w:val="Heading3"/>
      </w:pPr>
      <w:r>
        <w:t>2.2 非目标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本文不替代各系统详细需求、接口契约和数据库设计文档。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本文不承诺当前环境已经具备多节点高可用、自动扩缩容或跨地域容灾。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本文不将目录存在等同于生产启用，运行边界以根 Compose 和门户路由为准。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本文不展开每个页面、字段、表结构和接口参数。</w:t>
      </w:r>
    </w:p>
    <w:p>
      <w:r>
        <w:br w:type="page"/>
      </w:r>
    </w:p>
    <w:p>
      <w:pPr>
        <w:pStyle w:val="Heading2"/>
      </w:pPr>
      <w:r>
        <w:t>3. 全局架构</w:t>
      </w:r>
    </w:p>
    <w:p>
      <w:pPr>
        <w:pStyle w:val="Heading3"/>
      </w:pPr>
      <w:r>
        <w:t>3.1 容器化总体分层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Heiti" w:hAnsi="STHeiti" w:eastAsia="STHeiti"/>
          <w:i/>
          <w:color w:val="667788"/>
          <w:sz w:val="18"/>
        </w:rPr>
        <w:t>图 1  平台总体架构（含容器）</w:t>
      </w:r>
    </w:p>
    <w:p>
      <w:pPr>
        <w:pStyle w:val="Heading3"/>
      </w:pPr>
      <w:r>
        <w:t>3.2 架构风格</w:t>
      </w:r>
    </w:p>
    <w:p>
      <w:r>
        <w:rPr>
          <w:rFonts w:ascii="STHeiti" w:hAnsi="STHeiti" w:eastAsia="STHeiti"/>
          <w:color w:val="263646"/>
          <w:sz w:val="21"/>
        </w:rPr>
        <w:t>平台当前是“统一认证门户 + 多业务服务 + 共享基础设施”的模块化单仓架构：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代码集中在同一仓库，业务系统按目录和服务独立。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业务服务主要通过 HTTP API 通信，不直接读取其他系统数据库。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关系型业务数据主要位于一个 MySQL 实例的多个 Schema，现役业务 Schema 使用独立最小权限账号。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因异步扫描和数据模型需要，独立使用 PostgreSQL、Redis 和 Celery。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前端以独立静态站点部署，由 Nginx 承载。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根 Docker Compose 是当前完整运行拓扑的主要编排入口。</w:t>
      </w:r>
    </w:p>
    <w:p>
      <w:r>
        <w:rPr>
          <w:rFonts w:ascii="STHeiti" w:hAnsi="STHeiti" w:eastAsia="STHeiti"/>
          <w:color w:val="263646"/>
          <w:sz w:val="21"/>
        </w:rPr>
        <w:t>该形态适合当前统一交付和中小规模部署，但共享数据库实例、单节点中间件和分散配置会形成共同故障域。</w:t>
      </w:r>
    </w:p>
    <w:p>
      <w:r>
        <w:br w:type="page"/>
      </w:r>
    </w:p>
    <w:p>
      <w:pPr>
        <w:pStyle w:val="Heading2"/>
      </w:pPr>
      <w:r>
        <w:t>4. 平台能力设计</w:t>
      </w:r>
    </w:p>
    <w:p>
      <w:pPr>
        <w:pStyle w:val="Heading3"/>
      </w:pPr>
      <w:r>
        <w:t>4.1 统一认证与门户</w:t>
      </w:r>
    </w:p>
    <w:p>
      <w:r>
        <w:rPr>
          <w:rFonts w:ascii="STHeiti" w:hAnsi="STHeiti" w:eastAsia="STHeiti"/>
          <w:color w:val="263646"/>
          <w:sz w:val="21"/>
        </w:rPr>
        <w:t xml:space="preserve">统一认证服务 </w:t>
      </w:r>
      <w:r>
        <w:rPr>
          <w:rFonts w:ascii="Courier New" w:hAnsi="Courier New" w:eastAsia="Courier New"/>
          <w:color w:val="12365A"/>
          <w:sz w:val="20"/>
        </w:rPr>
        <w:t>auth</w:t>
      </w:r>
      <w:r>
        <w:rPr>
          <w:rFonts w:ascii="STHeiti" w:hAnsi="STHeiti" w:eastAsia="STHeiti"/>
          <w:color w:val="263646"/>
          <w:sz w:val="21"/>
        </w:rPr>
        <w:t xml:space="preserve"> 同时承担以下职责：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登录、登出、验证码、密码修改和多因素认证。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 HttpOnly Cookie 保存统一会话。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签发和校验会话令牌，维护会话有效期与撤销状态。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提供 </w:t>
      </w:r>
      <w:r>
        <w:rPr>
          <w:rFonts w:ascii="Courier New" w:hAnsi="Courier New" w:eastAsia="Courier New"/>
          <w:color w:val="12365A"/>
          <w:sz w:val="20"/>
        </w:rPr>
        <w:t>/api/auth/introspect</w:t>
      </w:r>
      <w:r>
        <w:rPr>
          <w:rFonts w:ascii="STHeiti" w:hAnsi="STHeiti" w:eastAsia="STHeiti"/>
          <w:color w:val="263646"/>
          <w:sz w:val="21"/>
        </w:rPr>
        <w:t>，供业务服务校验用户身份和系统访问范围。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根据角色和 </w:t>
      </w:r>
      <w:r>
        <w:rPr>
          <w:rFonts w:ascii="Courier New" w:hAnsi="Courier New" w:eastAsia="Courier New"/>
          <w:color w:val="12365A"/>
          <w:sz w:val="20"/>
        </w:rPr>
        <w:t>app_access</w:t>
      </w:r>
      <w:r>
        <w:rPr>
          <w:rFonts w:ascii="STHeiti" w:hAnsi="STHeiti" w:eastAsia="STHeiti"/>
          <w:color w:val="263646"/>
          <w:sz w:val="21"/>
        </w:rPr>
        <w:t xml:space="preserve"> 计算门户可访问系统。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通过 </w:t>
      </w:r>
      <w:r>
        <w:rPr>
          <w:rFonts w:ascii="Courier New" w:hAnsi="Courier New" w:eastAsia="Courier New"/>
          <w:color w:val="12365A"/>
          <w:sz w:val="20"/>
        </w:rPr>
        <w:t>/api/auth/apps</w:t>
      </w:r>
      <w:r>
        <w:rPr>
          <w:rFonts w:ascii="STHeiti" w:hAnsi="STHeiti" w:eastAsia="STHeiti"/>
          <w:color w:val="263646"/>
          <w:sz w:val="21"/>
        </w:rPr>
        <w:t xml:space="preserve"> 返回用户可见的系统入口。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提供系统切换入口和专用中心跳转。</w:t>
      </w:r>
    </w:p>
    <w:p>
      <w:r>
        <w:rPr>
          <w:rFonts w:ascii="STHeiti" w:hAnsi="STHeiti" w:eastAsia="STHeiti"/>
          <w:color w:val="263646"/>
          <w:sz w:val="21"/>
        </w:rPr>
        <w:t xml:space="preserve">每个业务服务使用唯一系统键进行授权判断，例如 </w:t>
      </w:r>
      <w:r>
        <w:rPr>
          <w:rFonts w:ascii="Courier New" w:hAnsi="Courier New" w:eastAsia="Courier New"/>
          <w:color w:val="12365A"/>
          <w:sz w:val="20"/>
        </w:rPr>
        <w:t>inventory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delivery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sca</w:t>
      </w:r>
      <w:r>
        <w:rPr>
          <w:rFonts w:ascii="STHeiti" w:hAnsi="STHeiti" w:eastAsia="STHeiti"/>
          <w:color w:val="263646"/>
          <w:sz w:val="21"/>
        </w:rPr>
        <w:t xml:space="preserve">。历史键 </w:t>
      </w:r>
      <w:r>
        <w:rPr>
          <w:rFonts w:ascii="Courier New" w:hAnsi="Courier New" w:eastAsia="Courier New"/>
          <w:color w:val="12365A"/>
          <w:sz w:val="20"/>
        </w:rPr>
        <w:t>ticketing</w:t>
      </w:r>
      <w:r>
        <w:rPr>
          <w:rFonts w:ascii="STHeiti" w:hAnsi="STHeiti" w:eastAsia="STHeiti"/>
          <w:color w:val="263646"/>
          <w:sz w:val="21"/>
        </w:rPr>
        <w:t xml:space="preserve"> 和 </w:t>
      </w:r>
      <w:r>
        <w:rPr>
          <w:rFonts w:ascii="Courier New" w:hAnsi="Courier New" w:eastAsia="Courier New"/>
          <w:color w:val="12365A"/>
          <w:sz w:val="20"/>
        </w:rPr>
        <w:t>sec-impl</w:t>
      </w:r>
      <w:r>
        <w:rPr>
          <w:rFonts w:ascii="STHeiti" w:hAnsi="STHeiti" w:eastAsia="STHeiti"/>
          <w:color w:val="263646"/>
          <w:sz w:val="21"/>
        </w:rPr>
        <w:t xml:space="preserve"> 在门户访问控制中统一归一化为 </w:t>
      </w:r>
      <w:r>
        <w:rPr>
          <w:rFonts w:ascii="Courier New" w:hAnsi="Courier New" w:eastAsia="Courier New"/>
          <w:color w:val="12365A"/>
          <w:sz w:val="20"/>
        </w:rPr>
        <w:t>delivery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Heading3"/>
      </w:pPr>
      <w:r>
        <w:t>4.2 角色与访问模型</w:t>
      </w:r>
    </w:p>
    <w:p>
      <w:r>
        <w:rPr>
          <w:rFonts w:ascii="STHeiti" w:hAnsi="STHeiti" w:eastAsia="STHeiti"/>
          <w:color w:val="263646"/>
          <w:sz w:val="21"/>
        </w:rPr>
        <w:t>平台基础角色包括：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高层职责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admin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业务管理和多数业务系统写操作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editor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内容、文档、培训和提示词等编辑能力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reviewer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内容审核和培训审核能力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user</w:t>
            </w:r>
            <w:r>
              <w:rPr>
                <w:rFonts w:ascii="STHeiti" w:hAnsi="STHeiti" w:eastAsia="STHeiti"/>
                <w:color w:val="263646"/>
                <w:sz w:val="18"/>
              </w:rPr>
              <w:t xml:space="preserve"> /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sales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普通业务或本人数据范围访问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sysadmin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管理中心、账号和安全配置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auditor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审计中心及被授权业务域的只读审计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角色只是基础权限来源。业务系统仍需在后端结合系统键、资源归属和操作类型执行二次授权，不能只依赖前端菜单隐藏。</w:t>
      </w:r>
    </w:p>
    <w:p>
      <w:pPr>
        <w:pStyle w:val="Heading3"/>
      </w:pPr>
      <w:r>
        <w:t>4.3 管理中心</w:t>
      </w:r>
    </w:p>
    <w:p>
      <w:r>
        <w:rPr>
          <w:rFonts w:ascii="STHeiti" w:hAnsi="STHeiti" w:eastAsia="STHeiti"/>
          <w:color w:val="263646"/>
          <w:sz w:val="21"/>
        </w:rPr>
        <w:t xml:space="preserve">管理中心由 </w:t>
      </w:r>
      <w:r>
        <w:rPr>
          <w:rFonts w:ascii="Courier New" w:hAnsi="Courier New" w:eastAsia="Courier New"/>
          <w:color w:val="12365A"/>
          <w:sz w:val="20"/>
        </w:rPr>
        <w:t>auth</w:t>
      </w:r>
      <w:r>
        <w:rPr>
          <w:rFonts w:ascii="STHeiti" w:hAnsi="STHeiti" w:eastAsia="STHeiti"/>
          <w:color w:val="263646"/>
          <w:sz w:val="21"/>
        </w:rPr>
        <w:t xml:space="preserve"> 服务直接提供，不是独立容器。主要能力包括：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用户创建、编辑、删除、批量删除和导入导出。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用户解锁、密码重置和系统访问范围配置。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部门维护。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密码策略、会话时长、MFA 和邮件等安全配置。</w:t>
      </w:r>
    </w:p>
    <w:p>
      <w:r>
        <w:rPr>
          <w:rFonts w:ascii="STHeiti" w:hAnsi="STHeiti" w:eastAsia="STHeiti"/>
          <w:color w:val="263646"/>
          <w:sz w:val="21"/>
        </w:rPr>
        <w:t xml:space="preserve">管理中心默认面向 </w:t>
      </w:r>
      <w:r>
        <w:rPr>
          <w:rFonts w:ascii="Courier New" w:hAnsi="Courier New" w:eastAsia="Courier New"/>
          <w:color w:val="12365A"/>
          <w:sz w:val="20"/>
        </w:rPr>
        <w:t>sysadmin</w:t>
      </w:r>
      <w:r>
        <w:rPr>
          <w:rFonts w:ascii="STHeiti" w:hAnsi="STHeiti" w:eastAsia="STHeiti"/>
          <w:color w:val="263646"/>
          <w:sz w:val="21"/>
        </w:rPr>
        <w:t>，业务管理员不应自动获得平台级安全配置权限。</w:t>
      </w:r>
    </w:p>
    <w:p>
      <w:pPr>
        <w:pStyle w:val="Heading3"/>
      </w:pPr>
      <w:r>
        <w:t>4.4 审计中心</w:t>
      </w:r>
    </w:p>
    <w:p>
      <w:r>
        <w:rPr>
          <w:rFonts w:ascii="STHeiti" w:hAnsi="STHeiti" w:eastAsia="STHeiti"/>
          <w:color w:val="263646"/>
          <w:sz w:val="21"/>
        </w:rPr>
        <w:t xml:space="preserve">审计中心同样由 </w:t>
      </w:r>
      <w:r>
        <w:rPr>
          <w:rFonts w:ascii="Courier New" w:hAnsi="Courier New" w:eastAsia="Courier New"/>
          <w:color w:val="12365A"/>
          <w:sz w:val="20"/>
        </w:rPr>
        <w:t>auth</w:t>
      </w:r>
      <w:r>
        <w:rPr>
          <w:rFonts w:ascii="STHeiti" w:hAnsi="STHeiti" w:eastAsia="STHeiti"/>
          <w:color w:val="263646"/>
          <w:sz w:val="21"/>
        </w:rPr>
        <w:t xml:space="preserve"> 服务提供，负责：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聚合本地和已接入业务系统的操作日志。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按系统、用户、动作、对象和时间查询。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对支持签名链的业务日志执行验签。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导出审计结果。</w:t>
      </w:r>
    </w:p>
    <w:p>
      <w:r>
        <w:rPr>
          <w:rFonts w:ascii="STHeiti" w:hAnsi="STHeiti" w:eastAsia="STHeiti"/>
          <w:color w:val="263646"/>
          <w:sz w:val="21"/>
        </w:rPr>
        <w:t>当前审计中心通过 HTTP 调用多个业务服务的审计接口。它是统一查看入口，但并不意味着所有业务审计数据已经集中存储。</w:t>
      </w:r>
    </w:p>
    <w:p>
      <w:pPr>
        <w:pStyle w:val="Heading3"/>
      </w:pPr>
      <w:r>
        <w:t>4.5 共享中间件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中间件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使用方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当前设计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 8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Auth、Reminder、Delivery、CMDB、Inventory、Device Flow、FAQ、Tender、Train Exam、Prompt Center、Big Screen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单实例、多 Schema、独立运行账号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PostgreSQL 16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SCA、Dependency-Track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主数据与 Dependency-Track 外部数据库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Redis 7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缓存、Celery Broker 和结果存储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OnlyOffice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FAQ、Tender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共用实例和文档密钥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 OnlyOffice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独立实例和独立文档密钥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Shipping Gateway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Inventory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聚合菜鸟、顺丰、京东等物流查询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Dependency-Track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SBOM 上传、项目和漏洞结果补充</w:t>
            </w:r>
          </w:p>
        </w:tc>
      </w:tr>
    </w:tbl>
    <w:p/>
    <w:p>
      <w:r>
        <w:br w:type="page"/>
      </w:r>
    </w:p>
    <w:p>
      <w:pPr>
        <w:pStyle w:val="Heading2"/>
      </w:pPr>
      <w:r>
        <w:t>5. 现役系统设计</w:t>
      </w:r>
    </w:p>
    <w:p>
      <w:pPr>
        <w:pStyle w:val="Heading3"/>
      </w:pPr>
      <w:r>
        <w:t>5.1 授权到期提醒系统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reminder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根后端 </w:t>
      </w:r>
      <w:r>
        <w:rPr>
          <w:rFonts w:ascii="Courier New" w:hAnsi="Courier New" w:eastAsia="Courier New"/>
          <w:color w:val="12365A"/>
          <w:sz w:val="20"/>
        </w:rPr>
        <w:t>server</w:t>
      </w:r>
      <w:r>
        <w:rPr>
          <w:rFonts w:ascii="STHeiti" w:hAnsi="STHeiti" w:eastAsia="STHeiti"/>
          <w:color w:val="263646"/>
          <w:sz w:val="21"/>
        </w:rPr>
        <w:t xml:space="preserve">、前端 </w:t>
      </w:r>
      <w:r>
        <w:rPr>
          <w:rFonts w:ascii="Courier New" w:hAnsi="Courier New" w:eastAsia="Courier New"/>
          <w:color w:val="12365A"/>
          <w:sz w:val="20"/>
        </w:rPr>
        <w:t>web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客户、联系人和授权信息台账。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到期规则、发送计划、自动提醒和手动补发。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邮件、短信、企业微信等发送配置和记录。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导入导出、仪表盘和操作审计。</w:t>
      </w:r>
    </w:p>
    <w:p>
      <w:r>
        <w:rPr>
          <w:rFonts w:ascii="STHeiti" w:hAnsi="STHeiti" w:eastAsia="STHeiti"/>
          <w:color w:val="263646"/>
          <w:sz w:val="21"/>
        </w:rPr>
        <w:t xml:space="preserve">Reminder 与 Auth 共用 </w:t>
      </w:r>
      <w:r>
        <w:rPr>
          <w:rFonts w:ascii="Courier New" w:hAnsi="Courier New" w:eastAsia="Courier New"/>
          <w:color w:val="12365A"/>
          <w:sz w:val="20"/>
        </w:rPr>
        <w:t>juxin_reminder</w:t>
      </w:r>
      <w:r>
        <w:rPr>
          <w:rFonts w:ascii="STHeiti" w:hAnsi="STHeiti" w:eastAsia="STHeiti"/>
          <w:color w:val="263646"/>
          <w:sz w:val="21"/>
        </w:rPr>
        <w:t>，属于当前最明显的历史共享数据边界。后续拆分时应先梳理用户、配置和业务表的所有权。</w:t>
      </w:r>
    </w:p>
    <w:p>
      <w:pPr>
        <w:pStyle w:val="Heading3"/>
      </w:pPr>
      <w:r>
        <w:t>5.2 交付系统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delivery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delivery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管理交付项目、交付单、项目成员、评论和排期。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执行 </w:t>
      </w:r>
      <w:r>
        <w:rPr>
          <w:rFonts w:ascii="Courier New" w:hAnsi="Courier New" w:eastAsia="Courier New"/>
          <w:color w:val="12365A"/>
          <w:sz w:val="20"/>
        </w:rPr>
        <w:t>INIT -&gt; ASSESS -&gt; IMPLEMENT -&gt; TUNE -&gt; TRIAL -&gt; ACCEPT -&gt; HANDOVER -&gt; CLOSED</w:t>
      </w:r>
      <w:r>
        <w:rPr>
          <w:rFonts w:ascii="STHeiti" w:hAnsi="STHeiti" w:eastAsia="STHeiti"/>
          <w:color w:val="263646"/>
          <w:sz w:val="21"/>
        </w:rPr>
        <w:t xml:space="preserve"> 固定流程。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对关键阶段执行强制留证。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支持退回重做、批量推进、导入导出和 SLA 管理。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使用链式哈希形成可验签审计记录。</w:t>
      </w:r>
    </w:p>
    <w:p>
      <w:r>
        <w:rPr>
          <w:rFonts w:ascii="STHeiti" w:hAnsi="STHeiti" w:eastAsia="STHeiti"/>
          <w:color w:val="263646"/>
          <w:sz w:val="21"/>
        </w:rPr>
        <w:t xml:space="preserve">交付系统使用独立数据库 </w:t>
      </w:r>
      <w:r>
        <w:rPr>
          <w:rFonts w:ascii="Courier New" w:hAnsi="Courier New" w:eastAsia="Courier New"/>
          <w:color w:val="12365A"/>
          <w:sz w:val="20"/>
        </w:rPr>
        <w:t>juxin_delivery</w:t>
      </w:r>
      <w:r>
        <w:rPr>
          <w:rFonts w:ascii="STHeiti" w:hAnsi="STHeiti" w:eastAsia="STHeiti"/>
          <w:color w:val="263646"/>
          <w:sz w:val="21"/>
        </w:rPr>
        <w:t xml:space="preserve"> 和账号 </w:t>
      </w:r>
      <w:r>
        <w:rPr>
          <w:rFonts w:ascii="Courier New" w:hAnsi="Courier New" w:eastAsia="Courier New"/>
          <w:color w:val="12365A"/>
          <w:sz w:val="20"/>
        </w:rPr>
        <w:t>delivery_user</w:t>
      </w:r>
      <w:r>
        <w:rPr>
          <w:rFonts w:ascii="STHeiti" w:hAnsi="STHeiti" w:eastAsia="STHeiti"/>
          <w:color w:val="263646"/>
          <w:sz w:val="21"/>
        </w:rPr>
        <w:t>。它是 Ticketing 与 Sec-Impl 能力整合后的现役门户系统，并提供旧数据迁移脚本。</w:t>
      </w:r>
    </w:p>
    <w:p>
      <w:pPr>
        <w:pStyle w:val="Heading3"/>
      </w:pPr>
      <w:r>
        <w:t>5.3 CMDB 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cmdb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cmdb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Go/Gin、React/Vite、MySQL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管理配置项（CI）、关系、生命周期和变更历史。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使用稳定 </w:t>
      </w:r>
      <w:r>
        <w:rPr>
          <w:rFonts w:ascii="Courier New" w:hAnsi="Courier New" w:eastAsia="Courier New"/>
          <w:color w:val="12365A"/>
          <w:sz w:val="20"/>
        </w:rPr>
        <w:t>ci_uid</w:t>
      </w:r>
      <w:r>
        <w:rPr>
          <w:rFonts w:ascii="STHeiti" w:hAnsi="STHeiti" w:eastAsia="STHeiti"/>
          <w:color w:val="263646"/>
          <w:sz w:val="21"/>
        </w:rPr>
        <w:t xml:space="preserve"> 作为跨系统引用标识。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对变更操作写入审计和变更日志。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预留事务 Outbox 与 Kafka 事件集成能力。</w:t>
      </w:r>
    </w:p>
    <w:p>
      <w:r>
        <w:rPr>
          <w:rFonts w:ascii="STHeiti" w:hAnsi="STHeiti" w:eastAsia="STHeiti"/>
          <w:color w:val="263646"/>
          <w:sz w:val="21"/>
        </w:rPr>
        <w:t xml:space="preserve">根 Compose 当前设置 </w:t>
      </w:r>
      <w:r>
        <w:rPr>
          <w:rFonts w:ascii="Courier New" w:hAnsi="Courier New" w:eastAsia="Courier New"/>
          <w:color w:val="12365A"/>
          <w:sz w:val="20"/>
        </w:rPr>
        <w:t>OUTBOX_ENABLED=false</w:t>
      </w:r>
      <w:r>
        <w:rPr>
          <w:rFonts w:ascii="STHeiti" w:hAnsi="STHeiti" w:eastAsia="STHeiti"/>
          <w:color w:val="263646"/>
          <w:sz w:val="21"/>
        </w:rPr>
        <w:t>，且未编排 Kafka。因此事件总线属于可启用能力，不应视为当前默认运行依赖。</w:t>
      </w:r>
    </w:p>
    <w:p>
      <w:pPr>
        <w:pStyle w:val="Heading3"/>
      </w:pPr>
      <w:r>
        <w:t>5.4 库存管理系统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inventory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inventory-system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商品、仓位、使用位置等主数据。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入库、出库、盘点、发货和库存台账。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批次、序列号和库存流水追踪。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通过物流网关查询运输轨迹和状态。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操作日志查询与导出。</w:t>
      </w:r>
    </w:p>
    <w:p>
      <w:r>
        <w:rPr>
          <w:rFonts w:ascii="STHeiti" w:hAnsi="STHeiti" w:eastAsia="STHeiti"/>
          <w:color w:val="263646"/>
          <w:sz w:val="21"/>
        </w:rPr>
        <w:t>物流网关是独立服务，负责供应商适配、令牌校验、限流和超时控制。库存系统不应直接保存第三方物流供应商的调用实现。</w:t>
      </w:r>
    </w:p>
    <w:p>
      <w:pPr>
        <w:pStyle w:val="Heading3"/>
      </w:pPr>
      <w:r>
        <w:t>5.5 设备流转系统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device-flow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device-flow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管理设备从收货、检查、安装、测试、审批、打包到发货的固定流程。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阶段推进不可跳步，并支持按规则退回。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管理阶段附件、批量导入和批量处理。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提供 SLA 看板、超时统计、审计链和验签。</w:t>
      </w:r>
    </w:p>
    <w:p>
      <w:r>
        <w:rPr>
          <w:rFonts w:ascii="STHeiti" w:hAnsi="STHeiti" w:eastAsia="STHeiti"/>
          <w:color w:val="263646"/>
          <w:sz w:val="21"/>
        </w:rPr>
        <w:t xml:space="preserve">设备流转系统使用独立 Schema 和独立运行账号 </w:t>
      </w:r>
      <w:r>
        <w:rPr>
          <w:rFonts w:ascii="Courier New" w:hAnsi="Courier New" w:eastAsia="Courier New"/>
          <w:color w:val="12365A"/>
          <w:sz w:val="20"/>
        </w:rPr>
        <w:t>device_flow_user</w:t>
      </w:r>
      <w:r>
        <w:rPr>
          <w:rFonts w:ascii="STHeiti" w:hAnsi="STHeiti" w:eastAsia="STHeiti"/>
          <w:color w:val="263646"/>
          <w:sz w:val="21"/>
        </w:rPr>
        <w:t>，避免与其他业务系统共享数据库口令。</w:t>
      </w:r>
    </w:p>
    <w:p>
      <w:pPr>
        <w:pStyle w:val="Heading3"/>
      </w:pPr>
      <w:r>
        <w:t>5.6 文档管理系统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faq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faq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Node.js/Express、React/Vite、MySQL、OnlyOffice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管理文档条目、分类、部门知识库和版本。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支持文件上传、预览、下载、恢复和发布。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通过编辑会话和锁控制在线协作。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使用 OnlyOffice 完成在线编辑和回调保存。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记录内容变更和审计日志。</w:t>
      </w:r>
    </w:p>
    <w:p>
      <w:r>
        <w:rPr>
          <w:rFonts w:ascii="STHeiti" w:hAnsi="STHeiti" w:eastAsia="STHeiti"/>
          <w:color w:val="263646"/>
          <w:sz w:val="21"/>
        </w:rPr>
        <w:t>FAQ 的文档文件、预览、草稿和可编辑版本位于持久化卷。数据库备份不能替代文件卷备份。</w:t>
      </w:r>
    </w:p>
    <w:p>
      <w:pPr>
        <w:pStyle w:val="Heading3"/>
      </w:pPr>
      <w:r>
        <w:t>5.7 标书协同制作系统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tender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tender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Node.js/Express、React/Vite、MySQL、OnlyOffice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标书项目、文档解析、章节编排和协同编辑。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草稿、版本、素材、水印、预览和可编辑文档管理。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OCR、AI 辅助生成、风险检查和质量评估。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文档导出、审计记录和保留策略。</w:t>
      </w:r>
    </w:p>
    <w:p>
      <w:r>
        <w:rPr>
          <w:rFonts w:ascii="STHeiti" w:hAnsi="STHeiti" w:eastAsia="STHeiti"/>
          <w:color w:val="263646"/>
          <w:sz w:val="21"/>
        </w:rPr>
        <w:t>Tender 与 FAQ 共用 OnlyOffice 实例和文档 JWT 密钥，但使用独立数据库和文件卷。OCR 和 AI 服务属于可选外部依赖，未配置时核心文档流程应保持可用。</w:t>
      </w:r>
    </w:p>
    <w:p>
      <w:pPr>
        <w:pStyle w:val="Heading3"/>
      </w:pPr>
      <w:r>
        <w:t>5.8 培训考试系统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train-exam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train-exam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Node.js/Express、React/Vite、MySQL、OnlyOffice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课程、学习路径、资源和学习进度。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题库、试卷、发布计划、考试会话和自动评分。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成绩、证书、补考、错题和复训建议。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Excel 导题、AI 出题和模型配置。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本地文件或 OSS 视频资源管理。</w:t>
      </w:r>
    </w:p>
    <w:p>
      <w:r>
        <w:rPr>
          <w:rFonts w:ascii="STHeiti" w:hAnsi="STHeiti" w:eastAsia="STHeiti"/>
          <w:color w:val="263646"/>
          <w:sz w:val="21"/>
        </w:rPr>
        <w:t xml:space="preserve">Train Exam 使用独立 OnlyOffice 实例，避免与 FAQ/Tender 的文档密钥和编辑负载耦合。它以 </w:t>
      </w:r>
      <w:r>
        <w:rPr>
          <w:rFonts w:ascii="Courier New" w:hAnsi="Courier New" w:eastAsia="Courier New"/>
          <w:color w:val="12365A"/>
          <w:sz w:val="20"/>
        </w:rPr>
        <w:t>juxin_train_exam</w:t>
      </w:r>
      <w:r>
        <w:rPr>
          <w:rFonts w:ascii="STHeiti" w:hAnsi="STHeiti" w:eastAsia="STHeiti"/>
          <w:color w:val="263646"/>
          <w:sz w:val="21"/>
        </w:rPr>
        <w:t xml:space="preserve"> 为主库，同时通过独立连接读取 </w:t>
      </w:r>
      <w:r>
        <w:rPr>
          <w:rFonts w:ascii="Courier New" w:hAnsi="Courier New" w:eastAsia="Courier New"/>
          <w:color w:val="12365A"/>
          <w:sz w:val="20"/>
        </w:rPr>
        <w:t>juxin_faq</w:t>
      </w:r>
      <w:r>
        <w:rPr>
          <w:rFonts w:ascii="STHeiti" w:hAnsi="STHeiti" w:eastAsia="STHeiti"/>
          <w:color w:val="263646"/>
          <w:sz w:val="21"/>
        </w:rPr>
        <w:t>，这是当前明确存在的跨域只读数据依赖。</w:t>
      </w:r>
    </w:p>
    <w:p>
      <w:pPr>
        <w:pStyle w:val="Heading3"/>
      </w:pPr>
      <w:r>
        <w:t>5.9 提示词管理中心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prompt-center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prompt-center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Node.js/Express、React/Vite、MySQL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按部门和分类管理提示词。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支持创建、编辑、发布、归档和版本回滚。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支持收藏、使用记录和概览统计。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记录提示词变更审计。</w:t>
      </w:r>
    </w:p>
    <w:p>
      <w:r>
        <w:rPr>
          <w:rFonts w:ascii="STHeiti" w:hAnsi="STHeiti" w:eastAsia="STHeiti"/>
          <w:color w:val="263646"/>
          <w:sz w:val="21"/>
        </w:rPr>
        <w:t xml:space="preserve">提示词中心使用独立数据库 </w:t>
      </w:r>
      <w:r>
        <w:rPr>
          <w:rFonts w:ascii="Courier New" w:hAnsi="Courier New" w:eastAsia="Courier New"/>
          <w:color w:val="12365A"/>
          <w:sz w:val="20"/>
        </w:rPr>
        <w:t>juxin_prompt_center</w:t>
      </w:r>
      <w:r>
        <w:rPr>
          <w:rFonts w:ascii="STHeiti" w:hAnsi="STHeiti" w:eastAsia="STHeiti"/>
          <w:color w:val="263646"/>
          <w:sz w:val="21"/>
        </w:rPr>
        <w:t>。部门信息当前属于业务侧分类数据，与管理中心的平台部门配置需要明确同步或引用规则，避免形成两个互相冲突的部门主数据源。</w:t>
      </w:r>
    </w:p>
    <w:p>
      <w:pPr>
        <w:pStyle w:val="Heading3"/>
      </w:pPr>
      <w:r>
        <w:t>5.10 软件成分分析平台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sca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sca-platform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Python/FastAPI、Vue 3/Element Plus、PostgreSQL、Redis、Celery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源码包上传、分片上传和项目管理。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Maven、npm、PyPI、Go 和容器基础镜像依赖识别。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SBOM、组件证据链、漏洞查询和风险排序。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Syft、Trivy、Grype、OpenSCA 和 Dependency-Track 多引擎扫描。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AI 漏洞降噪、整改闭环、持续风险监测和 DevSecOps 集成。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报告、SBOM、扫描结果和备份文件管理。</w:t>
      </w:r>
    </w:p>
    <w:p>
      <w:r>
        <w:rPr>
          <w:rFonts w:ascii="STHeiti" w:hAnsi="STHeiti" w:eastAsia="STHeiti"/>
          <w:color w:val="263646"/>
          <w:sz w:val="21"/>
        </w:rPr>
        <w:t>SCA 将 API、普通 Worker、扫描 Worker 和定时调度拆分为独立容器。长耗时扫描必须通过异步任务执行，API 仅负责创建任务、查询状态和返回结果。</w:t>
      </w:r>
    </w:p>
    <w:p>
      <w:r>
        <w:rPr>
          <w:rFonts w:ascii="STHeiti" w:hAnsi="STHeiti" w:eastAsia="STHeiti"/>
          <w:color w:val="263646"/>
          <w:sz w:val="21"/>
        </w:rPr>
        <w:t>SCA 依赖 OSV、NVD、GitHub Advisory、各语言包仓库和可选 AI 服务。外部服务失败时应保留扫描任务状态、错误原因和可重试能力。</w:t>
      </w:r>
    </w:p>
    <w:p>
      <w:pPr>
        <w:pStyle w:val="Heading3"/>
      </w:pPr>
      <w:r>
        <w:t>5.11 统一大屏展示中心</w:t>
      </w:r>
    </w:p>
    <w:p>
      <w:r>
        <w:rPr>
          <w:rFonts w:ascii="STHeiti" w:hAnsi="STHeiti" w:eastAsia="STHeiti"/>
          <w:b/>
          <w:color w:val="263646"/>
          <w:sz w:val="21"/>
        </w:rPr>
        <w:t>系统键：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big-screen</w:t>
      </w:r>
    </w:p>
    <w:p>
      <w:r>
        <w:rPr>
          <w:rFonts w:ascii="STHeiti" w:hAnsi="STHeiti" w:eastAsia="STHeiti"/>
          <w:b/>
          <w:color w:val="263646"/>
          <w:sz w:val="21"/>
        </w:rPr>
        <w:t>目录：</w:t>
      </w:r>
      <w:r>
        <w:rPr>
          <w:rFonts w:ascii="STHeiti" w:hAnsi="STHeiti" w:eastAsia="STHeiti"/>
          <w:color w:val="263646"/>
          <w:sz w:val="21"/>
        </w:rPr>
        <w:t xml:space="preserve"> </w:t>
      </w:r>
      <w:r>
        <w:rPr>
          <w:rFonts w:ascii="Courier New" w:hAnsi="Courier New" w:eastAsia="Courier New"/>
          <w:color w:val="12365A"/>
          <w:sz w:val="20"/>
        </w:rPr>
        <w:t>big-screen-center</w:t>
      </w:r>
    </w:p>
    <w:p>
      <w:r>
        <w:rPr>
          <w:rFonts w:ascii="STHeiti" w:hAnsi="STHeiti" w:eastAsia="STHeiti"/>
          <w:b/>
          <w:color w:val="263646"/>
          <w:sz w:val="21"/>
        </w:rPr>
        <w:t>技术栈：</w:t>
      </w:r>
      <w:r>
        <w:rPr>
          <w:rFonts w:ascii="STHeiti" w:hAnsi="STHeiti" w:eastAsia="STHeiti"/>
          <w:color w:val="263646"/>
          <w:sz w:val="21"/>
        </w:rPr>
        <w:t xml:space="preserve"> TypeScript/Express、Vue 3、ECharts、Three.js、MySQL</w:t>
      </w:r>
    </w:p>
    <w:p>
      <w:r>
        <w:rPr>
          <w:rFonts w:ascii="STHeiti" w:hAnsi="STHeiti" w:eastAsia="STHeiti"/>
          <w:color w:val="263646"/>
          <w:sz w:val="21"/>
        </w:rPr>
        <w:t>核心职责：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聚合 SCA、Train Exam 和 Reminder 的指标数据。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通过适配器统一不同系统的指标格式。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提供模板目录、双布局大屏、草稿、发布、回滚和播放列表。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提供离线资源包、播放令牌和来源健康检查。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使用缓存、过期数据兜底和熔断降低来源系统故障影响。</w:t>
      </w:r>
    </w:p>
    <w:p>
      <w:r>
        <w:rPr>
          <w:rFonts w:ascii="STHeiti" w:hAnsi="STHeiti" w:eastAsia="STHeiti"/>
          <w:color w:val="263646"/>
          <w:sz w:val="21"/>
        </w:rPr>
        <w:t>Big Screen 是面向展示的 BFF，不直接读取三个来源系统的数据库。其本地数据库只保存模板、版本、播放列表、令牌和审计等自身数据。</w:t>
      </w:r>
    </w:p>
    <w:p>
      <w:r>
        <w:br w:type="page"/>
      </w:r>
    </w:p>
    <w:p>
      <w:pPr>
        <w:pStyle w:val="Heading2"/>
      </w:pPr>
      <w:r>
        <w:t>6. 统一系统总表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</w:trPr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系统键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前端入口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API/服务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主数据存储</w:t>
            </w:r>
          </w:p>
        </w:tc>
        <w:tc>
          <w:tcPr>
            <w:tcW w:type="dxa" w:w="1328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7"/>
              </w:rPr>
              <w:t>关键依赖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平台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统一认证与门户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-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5180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auth:5180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juxin_reminder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MySQL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平台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管理中心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admin-center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5180/admin-center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 内置接口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juxin_reminder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平台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审计中心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audit-center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5180/audit-center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 聚合接口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本地 + 远程审计源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Auth、业务 API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授权到期提醒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reminder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18080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api:5179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juxin_reminder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交付系统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delivery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18084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delivery-api:5185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juxin_delivery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CMDB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cmdb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8090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cmdb:8088</w:t>
            </w:r>
            <w:r>
              <w:rPr>
                <w:rFonts w:ascii="STHeiti" w:hAnsi="STHeiti" w:eastAsia="STHeiti"/>
                <w:color w:val="263646"/>
                <w:sz w:val="17"/>
              </w:rPr>
              <w:t>（容器内）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cmdb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库存管理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inventory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18082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inventory-api:5183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juxin_inventory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Auth、MySQL、物流网关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设备流转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device-flow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18083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device-flow-api:5184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juxin_device_flow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文档管理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faq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18085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faq-api:5186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juxin_faq</w:t>
            </w:r>
            <w:r>
              <w:rPr>
                <w:rFonts w:ascii="STHeiti" w:hAnsi="STHeiti" w:eastAsia="STHeiti"/>
                <w:color w:val="263646"/>
                <w:sz w:val="17"/>
              </w:rPr>
              <w:t xml:space="preserve"> + 文件卷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Auth、MySQL、OnlyOffice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标书协同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tender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18086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tender-api:5187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juxin_tender</w:t>
            </w:r>
            <w:r>
              <w:rPr>
                <w:rFonts w:ascii="STHeiti" w:hAnsi="STHeiti" w:eastAsia="STHeiti"/>
                <w:color w:val="263646"/>
                <w:sz w:val="17"/>
              </w:rPr>
              <w:t xml:space="preserve"> + 文件卷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Auth、MySQL、OnlyOffice、可选 OCR/AI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培训考试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train-exam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18087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train-exam-api:5188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juxin_train_exam</w:t>
            </w:r>
            <w:r>
              <w:rPr>
                <w:rFonts w:ascii="STHeiti" w:hAnsi="STHeiti" w:eastAsia="STHeiti"/>
                <w:color w:val="263646"/>
                <w:sz w:val="17"/>
              </w:rPr>
              <w:t xml:space="preserve"> + 文件卷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Auth、MySQL、独立 OnlyOffice、可选 OSS/AI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提示词中心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prompt-center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18088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prompt-center-api:5189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juxin_prompt_center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</w:t>
            </w:r>
          </w:p>
        </w:tc>
      </w:tr>
      <w:tr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软件成分分析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sca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18089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sca-api:5191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juxin_sca</w:t>
            </w:r>
            <w:r>
              <w:rPr>
                <w:rFonts w:ascii="STHeiti" w:hAnsi="STHeiti" w:eastAsia="STHeiti"/>
                <w:color w:val="263646"/>
                <w:sz w:val="17"/>
              </w:rPr>
              <w:t xml:space="preserve"> + 文件卷</w:t>
            </w:r>
          </w:p>
        </w:tc>
        <w:tc>
          <w:tcPr>
            <w:tcW w:type="dxa" w:w="1328"/>
            <w:vAlign w:val="center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Auth、PostgreSQL、Redis、Celery、扫描器</w:t>
            </w:r>
          </w:p>
        </w:tc>
      </w:tr>
      <w:tr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业务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统一大屏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big-screen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18092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big-screen-api:5192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6"/>
              </w:rPr>
              <w:t>juxin_big_screen</w:t>
            </w:r>
          </w:p>
        </w:tc>
        <w:tc>
          <w:tcPr>
            <w:tcW w:type="dxa" w:w="1328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7"/>
              </w:rPr>
              <w:t>Auth、MySQL、SCA、Train Exam、Reminder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 xml:space="preserve">端口以当前根 Compose 为准。MySQL、PostgreSQL 和 Redis 的当前宿主机映射分别为 </w:t>
      </w:r>
      <w:r>
        <w:rPr>
          <w:rFonts w:ascii="Courier New" w:hAnsi="Courier New" w:eastAsia="Courier New"/>
          <w:color w:val="12365A"/>
          <w:sz w:val="20"/>
        </w:rPr>
        <w:t>53308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55433</w:t>
      </w:r>
      <w:r>
        <w:rPr>
          <w:rFonts w:ascii="STHeiti" w:hAnsi="STHeiti" w:eastAsia="STHeiti"/>
          <w:color w:val="263646"/>
          <w:sz w:val="21"/>
        </w:rPr>
        <w:t xml:space="preserve"> 和 </w:t>
      </w:r>
      <w:r>
        <w:rPr>
          <w:rFonts w:ascii="Courier New" w:hAnsi="Courier New" w:eastAsia="Courier New"/>
          <w:color w:val="12365A"/>
          <w:sz w:val="20"/>
        </w:rPr>
        <w:t>56380</w:t>
      </w:r>
      <w:r>
        <w:rPr>
          <w:rFonts w:ascii="STHeiti" w:hAnsi="STHeiti" w:eastAsia="STHeiti"/>
          <w:color w:val="263646"/>
          <w:sz w:val="21"/>
        </w:rPr>
        <w:t>；生产环境不应默认向公网暴露数据库端口。</w:t>
      </w:r>
    </w:p>
    <w:p>
      <w:r>
        <w:br w:type="page"/>
      </w:r>
    </w:p>
    <w:p>
      <w:pPr>
        <w:pStyle w:val="Heading2"/>
      </w:pPr>
      <w:r>
        <w:t>7. 数据架构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Heiti" w:hAnsi="STHeiti" w:eastAsia="STHeiti"/>
          <w:i/>
          <w:color w:val="667788"/>
          <w:sz w:val="18"/>
        </w:rPr>
        <w:t>图 2  平台数据拓扑</w:t>
      </w:r>
    </w:p>
    <w:p>
      <w:pPr>
        <w:pStyle w:val="Heading3"/>
      </w:pPr>
      <w:r>
        <w:t>7.1 数据库映射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主要所有者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juxin_reminder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Reminder、Auth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reminder_user</w:t>
            </w:r>
            <w:r>
              <w:rPr>
                <w:rFonts w:ascii="STHeiti" w:hAnsi="STHeiti" w:eastAsia="STHeiti"/>
                <w:color w:val="263646"/>
                <w:sz w:val="18"/>
              </w:rPr>
              <w:t xml:space="preserve"> 与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auth_user</w:t>
            </w:r>
            <w:r>
              <w:rPr>
                <w:rFonts w:ascii="STHeiti" w:hAnsi="STHeiti" w:eastAsia="STHeiti"/>
                <w:color w:val="263646"/>
                <w:sz w:val="18"/>
              </w:rPr>
              <w:t xml:space="preserve"> 分离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juxin_delivery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Delivery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现役交付域独立库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cmdb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CMDB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 xml:space="preserve">独立账号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cmdb_user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juxin_inventory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Inventory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 xml:space="preserve">独立账号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inventory_user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juxin_device_flow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Device Flow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 xml:space="preserve">独立账号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device_flow_user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juxin_faq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FAQ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 存在附加读取连接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juxin_tender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Tender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独立账号与文件卷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juxin_train_exam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独立账号与文件卷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juxin_prompt_center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Prompt Center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独立账号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juxin_big_screen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Big Screen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 xml:space="preserve">独立账号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big_screen_user</w:t>
            </w:r>
            <w:r>
              <w:rPr>
                <w:rFonts w:ascii="STHeiti" w:hAnsi="STHeiti" w:eastAsia="STHeiti"/>
                <w:color w:val="263646"/>
                <w:sz w:val="18"/>
              </w:rPr>
              <w:t>，只保存大屏自身配置与运行数据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juxin_sca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PostgreSQL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Dependency-Track 也连接该 PostgreSQL 实例</w:t>
            </w:r>
          </w:p>
        </w:tc>
      </w:tr>
    </w:tbl>
    <w:p/>
    <w:p>
      <w:pPr>
        <w:pStyle w:val="Heading3"/>
      </w:pPr>
      <w:r>
        <w:t>7.2 数据所有权原则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一个业务域必须对自己的表结构、迁移和数据质量负责。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新功能禁止继续扩大 </w:t>
      </w:r>
      <w:r>
        <w:rPr>
          <w:rFonts w:ascii="Courier New" w:hAnsi="Courier New" w:eastAsia="Courier New"/>
          <w:color w:val="12365A"/>
          <w:sz w:val="20"/>
        </w:rPr>
        <w:t>juxin_reminder</w:t>
      </w:r>
      <w:r>
        <w:rPr>
          <w:rFonts w:ascii="STHeiti" w:hAnsi="STHeiti" w:eastAsia="STHeiti"/>
          <w:color w:val="263646"/>
          <w:sz w:val="21"/>
        </w:rPr>
        <w:t xml:space="preserve"> 的跨系统共享范围。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跨系统读取优先通过 API；现有 Train Exam 读取 FAQ 数据库属于待治理例外。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文件型业务必须同时定义数据库记录与文件对象的备份、恢复和一致性策略。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外部系统标识应保存为稳定业务键，不保存可变展示名称作为唯一关联。</w:t>
      </w:r>
    </w:p>
    <w:p>
      <w:pPr>
        <w:pStyle w:val="Heading3"/>
      </w:pPr>
      <w:r>
        <w:t>7.3 事务与一致性</w:t>
      </w:r>
    </w:p>
    <w:p>
      <w:r>
        <w:rPr>
          <w:rFonts w:ascii="STHeiti" w:hAnsi="STHeiti" w:eastAsia="STHeiti"/>
          <w:color w:val="263646"/>
          <w:sz w:val="21"/>
        </w:rPr>
        <w:t>当前大多数业务操作在单个服务和单个数据库事务内完成。跨系统流程原则上采用最终一致性：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调用方记录请求和结果，失败时保留可重试状态。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接收方接口应支持幂等键或业务唯一键。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长耗时操作转为异步任务，并暴露任务状态。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不使用跨数据库分布式事务。</w:t>
      </w:r>
    </w:p>
    <w:p>
      <w:r>
        <w:rPr>
          <w:rFonts w:ascii="STHeiti" w:hAnsi="STHeiti" w:eastAsia="STHeiti"/>
          <w:color w:val="263646"/>
          <w:sz w:val="21"/>
        </w:rPr>
        <w:t>CMDB 已预留 Outbox 设计，后续引入事件总线时可作为平台事件集成范式。</w:t>
      </w:r>
    </w:p>
    <w:p>
      <w:r>
        <w:br w:type="page"/>
      </w:r>
    </w:p>
    <w:p>
      <w:pPr>
        <w:pStyle w:val="Heading2"/>
      </w:pPr>
      <w:r>
        <w:t>8. 集成架构</w:t>
      </w:r>
    </w:p>
    <w:p>
      <w:pPr>
        <w:pStyle w:val="Heading3"/>
      </w:pPr>
      <w:r>
        <w:t>8.1 统一认证调用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h-access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Heiti" w:hAnsi="STHeiti" w:eastAsia="STHeiti"/>
          <w:i/>
          <w:color w:val="667788"/>
          <w:sz w:val="18"/>
        </w:rPr>
        <w:t>图 3  统一认证与系统访问流程</w:t>
      </w:r>
    </w:p>
    <w:p>
      <w:r>
        <w:rPr>
          <w:rFonts w:ascii="STHeiti" w:hAnsi="STHeiti" w:eastAsia="STHeiti"/>
          <w:color w:val="263646"/>
          <w:sz w:val="21"/>
        </w:rPr>
        <w:t>业务 API 在认证服务不可用、会话无效或系统键未授权时应拒绝受保护操作。开发绕过能力不得在生产环境启用。</w:t>
      </w:r>
    </w:p>
    <w:p>
      <w:pPr>
        <w:pStyle w:val="Heading3"/>
      </w:pPr>
      <w:r>
        <w:t>8.2 文档协作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FAQ 和 Tender 共用 </w:t>
      </w:r>
      <w:r>
        <w:rPr>
          <w:rFonts w:ascii="Courier New" w:hAnsi="Courier New" w:eastAsia="Courier New"/>
          <w:color w:val="12365A"/>
          <w:sz w:val="20"/>
        </w:rPr>
        <w:t>onlyoffice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Train Exam 使用 </w:t>
      </w:r>
      <w:r>
        <w:rPr>
          <w:rFonts w:ascii="Courier New" w:hAnsi="Courier New" w:eastAsia="Courier New"/>
          <w:color w:val="12365A"/>
          <w:sz w:val="20"/>
        </w:rPr>
        <w:t>train-exam-onlyoffice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业务服务负责生成编辑配置、文件下载地址和回调地址。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OnlyOffice JWT 密钥必须通过环境变量注入，并与对应业务服务一致。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编辑回调应校验签名、会话和文档版本，避免旧回调覆盖新版本。</w:t>
      </w:r>
    </w:p>
    <w:p>
      <w:pPr>
        <w:pStyle w:val="Heading3"/>
      </w:pPr>
      <w:r>
        <w:t>8.3 大屏数据聚合</w:t>
      </w:r>
    </w:p>
    <w:p>
      <w:r>
        <w:rPr>
          <w:rFonts w:ascii="STHeiti" w:hAnsi="STHeiti" w:eastAsia="STHeiti"/>
          <w:color w:val="263646"/>
          <w:sz w:val="21"/>
        </w:rPr>
        <w:t>Big Screen 通过三个适配器调用 SCA、Train Exam 和 Reminder：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适配器将来源数据转换为统一指标信封。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不同指标使用独立缓存时效。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来源失败时可返回有效期内的旧数据，并标记不可用来源。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连续失败触发熔断，健康接口展示来源状态。</w:t>
      </w:r>
    </w:p>
    <w:p>
      <w:pPr>
        <w:pStyle w:val="Heading3"/>
      </w:pPr>
      <w:r>
        <w:t>8.4 SCA 外部集成</w:t>
      </w:r>
    </w:p>
    <w:p>
      <w:r>
        <w:rPr>
          <w:rFonts w:ascii="STHeiti" w:hAnsi="STHeiti" w:eastAsia="STHeiti"/>
          <w:color w:val="263646"/>
          <w:sz w:val="21"/>
        </w:rPr>
        <w:t>SCA 外部依赖分为四类：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漏洞情报：OSV、NVD、GitHub Advisory。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软件仓库：Maven Central、npm、PyPI、Go Proxy、GitHub。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扫描工具：OpenSCA、Syft、Trivy、Grype、Dependency-Track。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可选服务：OpenAI 兼容接口、邮件、GitHub/GitLab/Jenkins Webhook。</w:t>
      </w:r>
    </w:p>
    <w:p>
      <w:r>
        <w:rPr>
          <w:rFonts w:ascii="STHeiti" w:hAnsi="STHeiti" w:eastAsia="STHeiti"/>
          <w:color w:val="263646"/>
          <w:sz w:val="21"/>
        </w:rPr>
        <w:t>所有外部依赖都应设置超时，记录来源和失败原因。缺少可选凭证时应关闭对应能力，不得使用仓库内默认密钥代替生产凭证。</w:t>
      </w:r>
    </w:p>
    <w:p>
      <w:r>
        <w:br w:type="page"/>
      </w:r>
    </w:p>
    <w:p>
      <w:pPr>
        <w:pStyle w:val="Heading2"/>
      </w:pPr>
      <w:r>
        <w:t>9. 部署架构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ose-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Heiti" w:hAnsi="STHeiti" w:eastAsia="STHeiti"/>
          <w:i/>
          <w:color w:val="667788"/>
          <w:sz w:val="18"/>
        </w:rPr>
        <w:t>图 4  当前 Docker Compose 部署关系</w:t>
      </w:r>
    </w:p>
    <w:p>
      <w:pPr>
        <w:pStyle w:val="Heading3"/>
      </w:pPr>
      <w:r>
        <w:t>9.1 当前部署方式</w:t>
      </w:r>
    </w:p>
    <w:p>
      <w:r>
        <w:rPr>
          <w:rFonts w:ascii="STHeiti" w:hAnsi="STHeiti" w:eastAsia="STHeiti"/>
          <w:color w:val="263646"/>
          <w:sz w:val="21"/>
        </w:rPr>
        <w:t xml:space="preserve">当前部署基线是仓库根目录 </w:t>
      </w:r>
      <w:r>
        <w:rPr>
          <w:rFonts w:ascii="Courier New" w:hAnsi="Courier New" w:eastAsia="Courier New"/>
          <w:color w:val="12365A"/>
          <w:sz w:val="20"/>
        </w:rPr>
        <w:t>docker-compose.yml</w:t>
      </w:r>
      <w:r>
        <w:rPr>
          <w:rFonts w:ascii="STHeiti" w:hAnsi="STHeiti" w:eastAsia="STHeiti"/>
          <w:color w:val="263646"/>
          <w:sz w:val="21"/>
        </w:rPr>
        <w:t>。它不是补充脚本，而是本地、测试和中小规模交付环境的主运行拓扑。</w:t>
      </w:r>
    </w:p>
    <w:p>
      <w:r>
        <w:rPr>
          <w:rFonts w:ascii="STHeiti" w:hAnsi="STHeiti" w:eastAsia="STHeiti"/>
          <w:color w:val="263646"/>
          <w:sz w:val="21"/>
        </w:rPr>
        <w:t>根 Compose 编排：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统一认证、11 个现役业务系统及其前端。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MySQL、SCA PostgreSQL、SCA Redis。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API、Worker、扫描 Worker 和 Beat。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Dependency-Track API 与前端。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两套 OnlyOffice。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物流网关和 CMDB 初始化任务。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Ticketing 历史兼容服务。</w:t>
      </w:r>
    </w:p>
    <w:p>
      <w:r>
        <w:rPr>
          <w:rFonts w:ascii="STHeiti" w:hAnsi="STHeiti" w:eastAsia="STHeiti"/>
          <w:color w:val="263646"/>
          <w:sz w:val="21"/>
        </w:rPr>
        <w:t>当前部署适合单机开发、测试和中小规模交付。所有服务位于同一 Compose 网络，通过服务名访问。</w:t>
      </w:r>
    </w:p>
    <w:p>
      <w:pPr>
        <w:pStyle w:val="Heading3"/>
      </w:pPr>
      <w:r>
        <w:t>9.2 Docker Compose 分层</w:t>
      </w:r>
    </w:p>
    <w:p>
      <w:r>
        <w:rPr>
          <w:rFonts w:ascii="STHeiti" w:hAnsi="STHeiti" w:eastAsia="STHeiti"/>
          <w:color w:val="263646"/>
          <w:sz w:val="21"/>
        </w:rPr>
        <w:t>当前 Compose 可按五层理解：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Compose 服务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接入层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auth</w:t>
            </w:r>
            <w:r>
              <w:rPr>
                <w:rFonts w:ascii="STHeiti" w:hAnsi="STHeiti" w:eastAsia="STHeiti"/>
                <w:color w:val="263646"/>
                <w:sz w:val="18"/>
              </w:rPr>
              <w:t xml:space="preserve">、各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web-*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web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web-cmdb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提供统一门户、专用中心和各系统前端静态站点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业务 API 层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delivery-api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inventory-api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device-flow-api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faq-api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tender-api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train-exam-api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prompt-center-api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sca-api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big-screen-api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cmdb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承载业务接口、鉴权、审计和领域逻辑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异步任务层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sca-worker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sca-scanner-worker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sca-beat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执行 SCA 长耗时扫描、持续风险监测和定时任务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集成服务层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shipping-gateway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onlyoffice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train-exam-onlyoffice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dependency-track-apiserver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dependency-track-frontend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提供物流、在线文档编辑和 SBOM/漏洞辅助分析能力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数据与初始化层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mysql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sca-postgres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sca-redis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cmdb-mysql-init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提供关系型数据库、缓存/队列和一次性数据库初始化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从高层设计角度看，Compose 同时承担三件事：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运行编排</w:t>
      </w:r>
      <w:r>
        <w:rPr>
          <w:rFonts w:ascii="STHeiti" w:hAnsi="STHeiti" w:eastAsia="STHeiti"/>
          <w:color w:val="263646"/>
          <w:sz w:val="21"/>
        </w:rPr>
        <w:t>：定义服务、镜像、构建上下文、端口和依赖关系。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环境注入</w:t>
      </w:r>
      <w:r>
        <w:rPr>
          <w:rFonts w:ascii="STHeiti" w:hAnsi="STHeiti" w:eastAsia="STHeiti"/>
          <w:color w:val="263646"/>
          <w:sz w:val="21"/>
        </w:rPr>
        <w:t xml:space="preserve">：通过 </w:t>
      </w:r>
      <w:r>
        <w:rPr>
          <w:rFonts w:ascii="Courier New" w:hAnsi="Courier New" w:eastAsia="Courier New"/>
          <w:color w:val="12365A"/>
          <w:sz w:val="20"/>
        </w:rPr>
        <w:t>.env</w:t>
      </w:r>
      <w:r>
        <w:rPr>
          <w:rFonts w:ascii="STHeiti" w:hAnsi="STHeiti" w:eastAsia="STHeiti"/>
          <w:color w:val="263646"/>
          <w:sz w:val="21"/>
        </w:rPr>
        <w:t>、环境变量和构建参数注入数据库、密钥、CORS、外部服务地址。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数据挂载</w:t>
      </w:r>
      <w:r>
        <w:rPr>
          <w:rFonts w:ascii="STHeiti" w:hAnsi="STHeiti" w:eastAsia="STHeiti"/>
          <w:color w:val="263646"/>
          <w:sz w:val="21"/>
        </w:rPr>
        <w:t>：通过命名卷保存数据库、文档、上传文件、报告、SBOM、扫描结果和缓存。</w:t>
      </w:r>
    </w:p>
    <w:p>
      <w:pPr>
        <w:pStyle w:val="Heading3"/>
      </w:pPr>
      <w:r>
        <w:t>9.3 镜像与构建策略</w:t>
      </w:r>
    </w:p>
    <w:p>
      <w:r>
        <w:rPr>
          <w:rFonts w:ascii="STHeiti" w:hAnsi="STHeiti" w:eastAsia="STHeiti"/>
          <w:color w:val="263646"/>
          <w:sz w:val="21"/>
        </w:rPr>
        <w:t>Compose 中存在两类镜像来源：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本地构建镜像</w:t>
      </w:r>
      <w:r>
        <w:rPr>
          <w:rFonts w:ascii="STHeiti" w:hAnsi="STHeiti" w:eastAsia="STHeiti"/>
          <w:color w:val="263646"/>
          <w:sz w:val="21"/>
        </w:rPr>
        <w:t>：业务 API、业务前端、Auth、CMDB、SCA API/Worker、OnlyOffice 字体镜像等由仓库目录构建。</w:t>
      </w:r>
    </w:p>
    <w:p>
      <w:pPr>
        <w:pStyle w:val="ListBullet"/>
        <w:ind w:left="397"/>
      </w:pPr>
      <w:r>
        <w:rPr>
          <w:rFonts w:ascii="STHeiti" w:hAnsi="STHeiti" w:eastAsia="STHeiti"/>
          <w:b/>
          <w:color w:val="263646"/>
          <w:sz w:val="21"/>
        </w:rPr>
        <w:t>第三方基础镜像</w:t>
      </w:r>
      <w:r>
        <w:rPr>
          <w:rFonts w:ascii="STHeiti" w:hAnsi="STHeiti" w:eastAsia="STHeiti"/>
          <w:color w:val="263646"/>
          <w:sz w:val="21"/>
        </w:rPr>
        <w:t>：MySQL、PostgreSQL、Redis、Dependency-Track、Node、Nginx、Go、Alpine 等通过环境变量指定或使用默认镜像。</w:t>
      </w:r>
    </w:p>
    <w:p>
      <w:r>
        <w:rPr>
          <w:rFonts w:ascii="STHeiti" w:hAnsi="STHeiti" w:eastAsia="STHeiti"/>
          <w:color w:val="263646"/>
          <w:sz w:val="21"/>
        </w:rPr>
        <w:t>高层构建策略为：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Node 系服务以 Node 20 为主，前端构建后由 Nginx 承载静态资源。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CMDB 使用 Go 1.22 构建。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后端使用 Python/FastAPI，并拆分普通运行镜像和扫描 Worker 镜像。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镜像源通过 </w:t>
      </w:r>
      <w:r>
        <w:rPr>
          <w:rFonts w:ascii="Courier New" w:hAnsi="Courier New" w:eastAsia="Courier New"/>
          <w:color w:val="12365A"/>
          <w:sz w:val="20"/>
        </w:rPr>
        <w:t>NODE_20_*_IMAGE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NGINX_ALPINE_IMAGE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MYSQL_IMAGE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ONLYOFFICE_DOCUMENTSERVER_IMAGE</w:t>
      </w:r>
      <w:r>
        <w:rPr>
          <w:rFonts w:ascii="STHeiti" w:hAnsi="STHeiti" w:eastAsia="STHeiti"/>
          <w:color w:val="263646"/>
          <w:sz w:val="21"/>
        </w:rPr>
        <w:t xml:space="preserve"> 等变量覆盖，便于在国内镜像源或企业私有仓库中部署。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日常启动优先复用已有镜像；代码变更、首次部署或基础镜像变化时再执行重建。</w:t>
      </w:r>
    </w:p>
    <w:p>
      <w:pPr>
        <w:pStyle w:val="Heading3"/>
      </w:pPr>
      <w:r>
        <w:t>9.4 端口暴露策略</w:t>
      </w:r>
    </w:p>
    <w:p>
      <w:r>
        <w:rPr>
          <w:rFonts w:ascii="STHeiti" w:hAnsi="STHeiti" w:eastAsia="STHeiti"/>
          <w:color w:val="263646"/>
          <w:sz w:val="21"/>
        </w:rPr>
        <w:t>当前端口映射按“门户、业务前端、业务 API、数据服务、辅助服务”分组：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当前端口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统一门户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5180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Auth、门户、管理中心、审计中心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业务前端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18080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18082</w:t>
            </w:r>
            <w:r>
              <w:rPr>
                <w:rFonts w:ascii="STHeiti" w:hAnsi="STHeiti" w:eastAsia="STHeiti"/>
                <w:color w:val="263646"/>
                <w:sz w:val="18"/>
              </w:rPr>
              <w:t>-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18089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18092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8090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Reminder、Inventory、Device Flow、Delivery、FAQ、Tender、Train Exam、Prompt Center、SCA、Big Screen、CMDB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业务 API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5179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5183</w:t>
            </w:r>
            <w:r>
              <w:rPr>
                <w:rFonts w:ascii="STHeiti" w:hAnsi="STHeiti" w:eastAsia="STHeiti"/>
                <w:color w:val="263646"/>
                <w:sz w:val="18"/>
              </w:rPr>
              <w:t>-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5189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5191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5192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各业务后端 API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集成服务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5190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18090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18091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物流网关、Dependency-Track API 和前端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数据服务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53308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55433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56380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MySQL、SCA PostgreSQL、SCA Redis 的宿主机映射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历史兼容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18081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5182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Ticketing 前后端仍存在于 Compose，但不作为现役门户入口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生产环境建议：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只通过统一 HTTPS 入口暴露门户和业务前端。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数据库、Redis、Dependency-Track 管理入口不直接暴露公网。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业务 API 优先由反向代理或内网访问控制承载。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端口映射应形成环境清单，避免测试环境和生产环境混用。</w:t>
      </w:r>
    </w:p>
    <w:p>
      <w:pPr>
        <w:pStyle w:val="Heading3"/>
      </w:pPr>
      <w:r>
        <w:t>9.5 数据卷与持久化策略</w:t>
      </w:r>
    </w:p>
    <w:p>
      <w:r>
        <w:rPr>
          <w:rFonts w:ascii="STHeiti" w:hAnsi="STHeiti" w:eastAsia="STHeiti"/>
          <w:color w:val="263646"/>
          <w:sz w:val="21"/>
        </w:rPr>
        <w:t>当前 Compose 定义的持久化卷包括：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数据卷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主要使用方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保存内容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mysql-data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Auth、Reminder、Delivery、CMDB、Inventory、Device、FAQ、Tender、Train、Prompt、Big Screen 等 MySQL 数据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faq-data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FAQ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上传文件、预览、草稿和可编辑文档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tender-data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Tender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标书上传、版本、草稿、素材、水印、预览和编辑文件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train-exam-data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课程资源、导入文件和证书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sca-postgres-data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PostgreSQL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与 Dependency-Track 关系型数据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sca-redis-data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Redis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Redis AOF、缓存、任务状态相关数据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sca-upload-data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源码上传文件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sca-report-data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报告文件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sca-sbom-data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SBOM 和镜像分析文件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sca-backup-data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备份文件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sca-scanner-results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Scanner Worker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多引擎扫描原始结果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sca-trivy-cache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Scanner Worker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Trivy 缓存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dependency-track-data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Dependency-Track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Dependency-Track 应用数据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备份设计必须覆盖数据库和文件卷两类对象。只备份 MySQL 会导致 FAQ、Tender、Train Exam、SCA 的文件型数据无法完整恢复。</w:t>
      </w:r>
    </w:p>
    <w:p>
      <w:pPr>
        <w:pStyle w:val="Heading3"/>
      </w:pPr>
      <w:r>
        <w:t>9.6 启动依赖与健康检查</w:t>
      </w:r>
    </w:p>
    <w:p>
      <w:r>
        <w:rPr>
          <w:rFonts w:ascii="STHeiti" w:hAnsi="STHeiti" w:eastAsia="STHeiti"/>
          <w:color w:val="263646"/>
          <w:sz w:val="21"/>
        </w:rPr>
        <w:t xml:space="preserve">Compose 当前通过 </w:t>
      </w:r>
      <w:r>
        <w:rPr>
          <w:rFonts w:ascii="Courier New" w:hAnsi="Courier New" w:eastAsia="Courier New"/>
          <w:color w:val="12365A"/>
          <w:sz w:val="20"/>
        </w:rPr>
        <w:t>depends_on</w:t>
      </w:r>
      <w:r>
        <w:rPr>
          <w:rFonts w:ascii="STHeiti" w:hAnsi="STHeiti" w:eastAsia="STHeiti"/>
          <w:color w:val="263646"/>
          <w:sz w:val="21"/>
        </w:rPr>
        <w:t xml:space="preserve"> 描述主要启动依赖：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大多数业务 API 依赖 </w:t>
      </w:r>
      <w:r>
        <w:rPr>
          <w:rFonts w:ascii="Courier New" w:hAnsi="Courier New" w:eastAsia="Courier New"/>
          <w:color w:val="12365A"/>
          <w:sz w:val="20"/>
        </w:rPr>
        <w:t>mysql</w:t>
      </w:r>
      <w:r>
        <w:rPr>
          <w:rFonts w:ascii="STHeiti" w:hAnsi="STHeiti" w:eastAsia="STHeiti"/>
          <w:color w:val="263646"/>
          <w:sz w:val="21"/>
        </w:rPr>
        <w:t xml:space="preserve"> 和 </w:t>
      </w:r>
      <w:r>
        <w:rPr>
          <w:rFonts w:ascii="Courier New" w:hAnsi="Courier New" w:eastAsia="Courier New"/>
          <w:color w:val="12365A"/>
          <w:sz w:val="20"/>
        </w:rPr>
        <w:t>auth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FAQ/Tender 依赖 </w:t>
      </w:r>
      <w:r>
        <w:rPr>
          <w:rFonts w:ascii="Courier New" w:hAnsi="Courier New" w:eastAsia="Courier New"/>
          <w:color w:val="12365A"/>
          <w:sz w:val="20"/>
        </w:rPr>
        <w:t>onlyoffice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Train Exam 依赖 </w:t>
      </w:r>
      <w:r>
        <w:rPr>
          <w:rFonts w:ascii="Courier New" w:hAnsi="Courier New" w:eastAsia="Courier New"/>
          <w:color w:val="12365A"/>
          <w:sz w:val="20"/>
        </w:rPr>
        <w:t>train-exam-onlyoffice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SCA API/Worker/Beat 依赖 </w:t>
      </w:r>
      <w:r>
        <w:rPr>
          <w:rFonts w:ascii="Courier New" w:hAnsi="Courier New" w:eastAsia="Courier New"/>
          <w:color w:val="12365A"/>
          <w:sz w:val="20"/>
        </w:rPr>
        <w:t>sca-postgres</w:t>
      </w:r>
      <w:r>
        <w:rPr>
          <w:rFonts w:ascii="STHeiti" w:hAnsi="STHeiti" w:eastAsia="STHeiti"/>
          <w:color w:val="263646"/>
          <w:sz w:val="21"/>
        </w:rPr>
        <w:t xml:space="preserve"> 和 </w:t>
      </w:r>
      <w:r>
        <w:rPr>
          <w:rFonts w:ascii="Courier New" w:hAnsi="Courier New" w:eastAsia="Courier New"/>
          <w:color w:val="12365A"/>
          <w:sz w:val="20"/>
        </w:rPr>
        <w:t>sca-redis</w:t>
      </w:r>
      <w:r>
        <w:rPr>
          <w:rFonts w:ascii="STHeiti" w:hAnsi="STHeiti" w:eastAsia="STHeiti"/>
          <w:color w:val="263646"/>
          <w:sz w:val="21"/>
        </w:rPr>
        <w:t xml:space="preserve"> 健康检查。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Big Screen 依赖 </w:t>
      </w:r>
      <w:r>
        <w:rPr>
          <w:rFonts w:ascii="Courier New" w:hAnsi="Courier New" w:eastAsia="Courier New"/>
          <w:color w:val="12365A"/>
          <w:sz w:val="20"/>
        </w:rPr>
        <w:t>mysql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auth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api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train-exam-api</w:t>
      </w:r>
      <w:r>
        <w:rPr>
          <w:rFonts w:ascii="STHeiti" w:hAnsi="STHeiti" w:eastAsia="STHeiti"/>
          <w:color w:val="263646"/>
          <w:sz w:val="21"/>
        </w:rPr>
        <w:t xml:space="preserve"> 和 </w:t>
      </w:r>
      <w:r>
        <w:rPr>
          <w:rFonts w:ascii="Courier New" w:hAnsi="Courier New" w:eastAsia="Courier New"/>
          <w:color w:val="12365A"/>
          <w:sz w:val="20"/>
        </w:rPr>
        <w:t>sca-api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CMDB 依赖一次性任务 </w:t>
      </w:r>
      <w:r>
        <w:rPr>
          <w:rFonts w:ascii="Courier New" w:hAnsi="Courier New" w:eastAsia="Courier New"/>
          <w:color w:val="12365A"/>
          <w:sz w:val="20"/>
        </w:rPr>
        <w:t>cmdb-mysql-init</w:t>
      </w:r>
      <w:r>
        <w:rPr>
          <w:rFonts w:ascii="STHeiti" w:hAnsi="STHeiti" w:eastAsia="STHeiti"/>
          <w:color w:val="263646"/>
          <w:sz w:val="21"/>
        </w:rPr>
        <w:t xml:space="preserve"> 完成数据库初始化。</w:t>
      </w:r>
    </w:p>
    <w:p>
      <w:r>
        <w:rPr>
          <w:rFonts w:ascii="STHeiti" w:hAnsi="STHeiti" w:eastAsia="STHeiti"/>
          <w:color w:val="263646"/>
          <w:sz w:val="21"/>
        </w:rPr>
        <w:t>需要注意：</w:t>
      </w:r>
    </w:p>
    <w:p>
      <w:pPr>
        <w:pStyle w:val="ListBullet"/>
        <w:ind w:left="397"/>
      </w:pPr>
      <w:r>
        <w:rPr>
          <w:rFonts w:ascii="Courier New" w:hAnsi="Courier New" w:eastAsia="Courier New"/>
          <w:color w:val="12365A"/>
          <w:sz w:val="20"/>
        </w:rPr>
        <w:t>depends_on</w:t>
      </w:r>
      <w:r>
        <w:rPr>
          <w:rFonts w:ascii="STHeiti" w:hAnsi="STHeiti" w:eastAsia="STHeiti"/>
          <w:color w:val="263646"/>
          <w:sz w:val="21"/>
        </w:rPr>
        <w:t xml:space="preserve"> 只能保证容器启动顺序，不能替代业务就绪检查。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的 PostgreSQL 和 Redis 已配置容器级健康检查，是当前较完整的就绪依赖样板。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11 个现役业务后端统一暴露 </w:t>
      </w:r>
      <w:r>
        <w:rPr>
          <w:rFonts w:ascii="Courier New" w:hAnsi="Courier New" w:eastAsia="Courier New"/>
          <w:color w:val="12365A"/>
          <w:sz w:val="20"/>
        </w:rPr>
        <w:t>/api/health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/api/ready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/api/version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/api/build</w:t>
      </w:r>
      <w:r>
        <w:rPr>
          <w:rFonts w:ascii="STHeiti" w:hAnsi="STHeiti" w:eastAsia="STHeiti"/>
          <w:color w:val="263646"/>
          <w:sz w:val="21"/>
        </w:rPr>
        <w:t>，发布验证脚本应按系统清单逐项检查。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初始化任务和业务迁移应保持幂等，避免容器重启后重复写入脏数据。</w:t>
      </w:r>
    </w:p>
    <w:p>
      <w:pPr>
        <w:pStyle w:val="Heading3"/>
      </w:pPr>
      <w:r>
        <w:t>9.7 Docker 运维命令基线</w:t>
      </w:r>
    </w:p>
    <w:p>
      <w:r>
        <w:rPr>
          <w:rFonts w:ascii="STHeiti" w:hAnsi="STHeiti" w:eastAsia="STHeiti"/>
          <w:color w:val="263646"/>
          <w:sz w:val="21"/>
        </w:rPr>
        <w:t>日常运维建议统一使用仓库脚本，而不是手写长命令：</w:t>
      </w:r>
    </w:p>
    <w:p>
      <w:pPr>
        <w:pStyle w:val="CodeBlock"/>
        <w:shd w:fill="F2F4F7"/>
      </w:pPr>
      <w:r>
        <w:rPr>
          <w:rFonts w:ascii="Courier New" w:hAnsi="Courier New" w:eastAsia="Courier New"/>
          <w:color w:val="263646"/>
          <w:sz w:val="17"/>
        </w:rPr>
        <w:t># 启动已有镜像，适合日常验证</w:t>
        <w:br/>
        <w:t>./scripts/deploy/docker-compose-aliyun.sh start</w:t>
        <w:br/>
        <w:br/>
        <w:t># 代码、Dockerfile 或依赖变更后重建</w:t>
        <w:br/>
        <w:t>./scripts/deploy/docker-compose-aliyun.sh rebuild</w:t>
        <w:br/>
        <w:br/>
        <w:t># 只验证某个系统，可追加服务名</w:t>
        <w:br/>
        <w:t>./scripts/deploy/docker-compose-aliyun.sh start mysql auth sca-postgres sca-redis sca-api web-sca</w:t>
        <w:br/>
        <w:br/>
        <w:t># 查看容器状态和日志</w:t>
        <w:br/>
        <w:t>docker compose ps</w:t>
        <w:br/>
        <w:t>docker compose logs -f auth sca-api web-sca</w:t>
      </w:r>
    </w:p>
    <w:p>
      <w:r>
        <w:rPr>
          <w:rFonts w:ascii="STHeiti" w:hAnsi="STHeiti" w:eastAsia="STHeiti"/>
          <w:color w:val="263646"/>
          <w:sz w:val="21"/>
        </w:rPr>
        <w:t>建议形成标准发布步骤：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 xml:space="preserve">校验 </w:t>
      </w:r>
      <w:r>
        <w:rPr>
          <w:rFonts w:ascii="Courier New" w:hAnsi="Courier New" w:eastAsia="Courier New"/>
          <w:color w:val="12365A"/>
          <w:sz w:val="20"/>
        </w:rPr>
        <w:t>.env</w:t>
      </w:r>
      <w:r>
        <w:rPr>
          <w:rFonts w:ascii="STHeiti" w:hAnsi="STHeiti" w:eastAsia="STHeiti"/>
          <w:color w:val="263646"/>
          <w:sz w:val="21"/>
        </w:rPr>
        <w:t xml:space="preserve"> 必填项。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拉取代码和目标分支。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执行最快相关测试。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重建受影响服务。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启动服务并检查健康接口。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验证门户、系统切换、退出登录和目标业务主流程。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记录版本号、镜像标签、提交号和回退点。</w:t>
      </w:r>
    </w:p>
    <w:p>
      <w:pPr>
        <w:pStyle w:val="Heading3"/>
      </w:pPr>
      <w:r>
        <w:t>9.8 配置与密钥</w:t>
      </w:r>
    </w:p>
    <w:p>
      <w:pPr>
        <w:pStyle w:val="ListBullet"/>
        <w:ind w:left="397"/>
      </w:pPr>
      <w:r>
        <w:rPr>
          <w:rFonts w:ascii="Courier New" w:hAnsi="Courier New" w:eastAsia="Courier New"/>
          <w:color w:val="12365A"/>
          <w:sz w:val="20"/>
        </w:rPr>
        <w:t>.env.example</w:t>
      </w:r>
      <w:r>
        <w:rPr>
          <w:rFonts w:ascii="STHeiti" w:hAnsi="STHeiti" w:eastAsia="STHeiti"/>
          <w:color w:val="263646"/>
          <w:sz w:val="21"/>
        </w:rPr>
        <w:t xml:space="preserve"> 只提供变量结构，真实密码和密钥必须由部署环境提供。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数据库密码、JWT 密钥、审计签名密钥、文档密钥和第三方令牌不得提交到 Git。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生产环境应启用 HTTPS、安全 Cookie 和严格安全模式。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CORS 只允许实际使用的门户和业务域名。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业务容器不应以数据库 root 账号运行。</w:t>
      </w:r>
    </w:p>
    <w:p>
      <w:r>
        <w:rPr>
          <w:rFonts w:ascii="STHeiti" w:hAnsi="STHeiti" w:eastAsia="STHeiti"/>
          <w:color w:val="263646"/>
          <w:sz w:val="21"/>
        </w:rPr>
        <w:t>当前 Compose 已清除生产配置中的固定示例密钥和弱默认值；</w:t>
      </w:r>
      <w:r>
        <w:rPr>
          <w:rFonts w:ascii="Courier New" w:hAnsi="Courier New" w:eastAsia="Courier New"/>
          <w:color w:val="12365A"/>
          <w:sz w:val="20"/>
        </w:rPr>
        <w:t>.env.example</w:t>
      </w:r>
      <w:r>
        <w:rPr>
          <w:rFonts w:ascii="STHeiti" w:hAnsi="STHeiti" w:eastAsia="STHeiti"/>
          <w:color w:val="263646"/>
          <w:sz w:val="21"/>
        </w:rPr>
        <w:t xml:space="preserve"> 仅保留变量结构。生产部署必须由密钥管理系统或受控环境变量注入强密码、签名密钥和第三方令牌。</w:t>
      </w:r>
    </w:p>
    <w:p>
      <w:pPr>
        <w:pStyle w:val="Heading3"/>
      </w:pPr>
      <w:r>
        <w:t>9.9 启停与健康检查</w:t>
      </w:r>
    </w:p>
    <w:p>
      <w:r>
        <w:rPr>
          <w:rFonts w:ascii="STHeiti" w:hAnsi="STHeiti" w:eastAsia="STHeiti"/>
          <w:color w:val="263646"/>
          <w:sz w:val="21"/>
        </w:rPr>
        <w:t>推荐的运维顺序：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 xml:space="preserve">检查 </w:t>
      </w:r>
      <w:r>
        <w:rPr>
          <w:rFonts w:ascii="Courier New" w:hAnsi="Courier New" w:eastAsia="Courier New"/>
          <w:color w:val="12365A"/>
          <w:sz w:val="20"/>
        </w:rPr>
        <w:t>.env</w:t>
      </w:r>
      <w:r>
        <w:rPr>
          <w:rFonts w:ascii="STHeiti" w:hAnsi="STHeiti" w:eastAsia="STHeiti"/>
          <w:color w:val="263646"/>
          <w:sz w:val="21"/>
        </w:rPr>
        <w:t xml:space="preserve"> 必填项和磁盘空间。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启动数据库与中间件。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执行一次性数据库初始化和迁移。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启动 Auth。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启动业务 API 和异步 Worker。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启动业务前端。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检查健康接口、登录、门户入口和关键依赖。</w:t>
      </w:r>
    </w:p>
    <w:p>
      <w:r>
        <w:rPr>
          <w:rFonts w:ascii="STHeiti" w:hAnsi="STHeiti" w:eastAsia="STHeiti"/>
          <w:color w:val="263646"/>
          <w:sz w:val="21"/>
        </w:rPr>
        <w:t>SCA 已对 PostgreSQL 和 Redis 配置 Compose 健康检查；其他业务的依赖启动条件并不完全等价于业务就绪，运维脚本必须执行统一的应用级健康、就绪、版本和构建信息接口验证。</w:t>
      </w:r>
    </w:p>
    <w:p>
      <w:r>
        <w:br w:type="page"/>
      </w:r>
    </w:p>
    <w:p>
      <w:pPr>
        <w:pStyle w:val="Heading2"/>
      </w:pPr>
      <w:r>
        <w:t>10. 安全设计</w:t>
      </w:r>
    </w:p>
    <w:p>
      <w:pPr>
        <w:pStyle w:val="Heading3"/>
      </w:pPr>
      <w:r>
        <w:t>10.1 身份与会话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使用统一 Cookie 名 </w:t>
      </w:r>
      <w:r>
        <w:rPr>
          <w:rFonts w:ascii="Courier New" w:hAnsi="Courier New" w:eastAsia="Courier New"/>
          <w:color w:val="12365A"/>
          <w:sz w:val="20"/>
        </w:rPr>
        <w:t>juxin_auth_token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会话在 Auth 侧持久化，可撤销并校验过期时间。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生产环境启用 HTTPS、Secure Cookie 和合理的 SameSite 策略。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密码策略、验证码、锁定和 MFA 由管理中心统一配置。</w:t>
      </w:r>
    </w:p>
    <w:p>
      <w:pPr>
        <w:pStyle w:val="Heading3"/>
      </w:pPr>
      <w:r>
        <w:t>10.2 接口安全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所有写接口必须在服务端鉴权。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浏览器写操作应启用 CSRF 防护。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上传接口限制大小、类型、路径和下载权限。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外部回调和 Webhook 使用独立密钥验签。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批量接口限制单次记录数，避免资源耗尽。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错误响应不返回堆栈、SQL、密钥或内部路径。</w:t>
      </w:r>
    </w:p>
    <w:p>
      <w:pPr>
        <w:pStyle w:val="Heading3"/>
      </w:pPr>
      <w:r>
        <w:t>10.3 审计安全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关键新增、修改、删除、发布、推进和配置操作必须留痕。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审计记录至少包含系统、用户、动作、对象、来源 IP 和时间。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支持签名链的系统应保留在线验签和异常定位能力。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审计导出必须受角色和系统范围约束。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审计中心聚合失败不能导致业务写入失败，但应产生可观测告警。</w:t>
      </w:r>
    </w:p>
    <w:p>
      <w:pPr>
        <w:pStyle w:val="Heading3"/>
      </w:pPr>
      <w:r>
        <w:t>10.4 OWASP Top 10:2025 控制映射</w:t>
      </w:r>
    </w:p>
    <w:p>
      <w:r>
        <w:rPr>
          <w:rFonts w:ascii="STHeiti" w:hAnsi="STHeiti" w:eastAsia="STHeiti"/>
          <w:color w:val="263646"/>
          <w:sz w:val="21"/>
        </w:rPr>
        <w:t>平台安全设计以 OWASP Top 10:2025 为统一控制口径，并将控制点落到认证、授权、配置、依赖、数据、审计和运行治理中。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OWASP 项</w:t>
            </w:r>
          </w:p>
        </w:tc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平台防护设计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A01:2025 Broken Access Control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统一门户会话、Auth introspection、系统级角色与服务端鉴权；写接口必须校验用户、系统、角色和对象范围。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A02:2025 Security Misconfiguration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README、旧拓扑文档和 Compose 统一 11 个现役系统口径；生产配置不得保留默认密钥、示例密码和不必要入口。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A03:2025 Software Supply Chain Failures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 平台持续扫描 SBOM、依赖漏洞和许可证风险；发布门禁要求高危依赖有修复或风险接受结论。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A04:2025 Cryptographic Failures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JWT、审计签名、配置加密、Webhook 和第三方令牌由环境注入强密钥；不得提交真实密钥或弱默认值。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A05:2025 Injection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后端使用参数化查询、ORM 或受控 SQL；导入、搜索、分页和批量接口限制输入类型、长度和数量。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A06:2025 Insecure Design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高层设计明确系统边界、数据所有权、兼容资产退役路线和恢复演练要求，避免跨系统隐式耦合。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A07:2025 Authentication Failures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统一 Cookie、会话撤销、过期校验、登录失败审计和生产 HTTPS/Secure Cookie 策略。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A08:2025 Software or Data Integrity Failures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审计签名链、版本化配置、文档回调签名、镜像构建记录和发布回退点共同保证变更可追溯。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A09:2025 Security Logging and Alerting Failures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统一审计中心、业务操作日志、SCA 持续风险监测和健康/就绪接口纳入日常检查。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A10:2025 Mishandling of Exceptional Conditions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API 不返回堆栈、SQL、密钥或内部路径；超时、依赖失败和异常状态需要稳定错误码与可观测告警。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本次治理已落地四项基础动作：统一 11 个现役系统口径，清除生产配置中的固定示例密钥和弱默认值，每个业务 Schema 使用独立最小权限账号，统一健康、就绪、版本和构建信息接口。</w:t>
      </w:r>
    </w:p>
    <w:p>
      <w:pPr>
        <w:pStyle w:val="Heading3"/>
      </w:pPr>
      <w:r>
        <w:t>10.5 当前安全风险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历史兼容资产仍需要保留迁移和回溯能力，需避免继续扩展新入口。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共享 MySQL 实例仍扩大数据库故障影响面，生产需依赖备份恢复和网络隔离降低风险。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生产 </w:t>
      </w:r>
      <w:r>
        <w:rPr>
          <w:rFonts w:ascii="Courier New" w:hAnsi="Courier New" w:eastAsia="Courier New"/>
          <w:color w:val="12365A"/>
          <w:sz w:val="20"/>
        </w:rPr>
        <w:t>.env</w:t>
      </w:r>
      <w:r>
        <w:rPr>
          <w:rFonts w:ascii="STHeiti" w:hAnsi="STHeiti" w:eastAsia="STHeiti"/>
          <w:color w:val="263646"/>
          <w:sz w:val="21"/>
        </w:rPr>
        <w:t xml:space="preserve"> 若未按规范注入强密钥，会影响 JWT、审计签名和配置加密。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依赖漏洞需要通过 SCA 扫描、修复或风险接受闭环持续治理。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多个数据服务映射到宿主机端口，生产部署必须通过防火墙或网络策略限制。</w:t>
      </w:r>
    </w:p>
    <w:p>
      <w:r>
        <w:br w:type="page"/>
      </w:r>
    </w:p>
    <w:p>
      <w:pPr>
        <w:pStyle w:val="Heading2"/>
      </w:pPr>
      <w:r>
        <w:t>11. 可靠性与故障处理</w:t>
      </w:r>
    </w:p>
    <w:p>
      <w:pPr>
        <w:pStyle w:val="Heading3"/>
      </w:pPr>
      <w:r>
        <w:t>11.1 当前策略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单业务服务失败原则上不应阻断其他业务系统登录和使用。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Auth 是所有受保护系统的共同依赖，当前属于关键单点。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MySQL 是多数业务的共同依赖，当前属于共享故障域。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通过异步 Worker 隔离扫描耗时和 API 请求。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Big Screen 通过缓存、旧数据兜底和熔断降低来源系统抖动影响。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外部 OCR、AI、漏洞源和物流服务应按可选依赖处理。</w:t>
      </w:r>
    </w:p>
    <w:p>
      <w:pPr>
        <w:pStyle w:val="Heading3"/>
      </w:pPr>
      <w:r>
        <w:t>11.2 错误处理要求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API 返回稳定错误码、可读消息和请求关联标识。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超时与远程失败不得转换为无上下文的 500。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异步任务保存状态、进度、失败原因和重试次数。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批量任务按条目记录成功与失败，避免整批无差别回滚。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文件写入失败时清理临时文件，避免产生孤儿记录。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降级数据必须明确标记时间和来源状态，不能伪装成实时数据。</w:t>
      </w:r>
    </w:p>
    <w:p>
      <w:pPr>
        <w:pStyle w:val="Heading3"/>
      </w:pPr>
      <w:r>
        <w:t>11.3 恢复目标建议</w:t>
      </w:r>
    </w:p>
    <w:p>
      <w:r>
        <w:rPr>
          <w:rFonts w:ascii="STHeiti" w:hAnsi="STHeiti" w:eastAsia="STHeiti"/>
          <w:color w:val="263646"/>
          <w:sz w:val="21"/>
        </w:rPr>
        <w:t>当前仓库未定义统一 RPO/RTO。建议按数据等级补充：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典型数据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 RPO</w:t>
            </w:r>
          </w:p>
        </w:tc>
        <w:tc>
          <w:tcPr>
            <w:tcW w:type="dxa" w:w="2324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 RTO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核心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用户、授权、交付、库存、CMDB、考试结果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15 分钟以内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2 小时以内</w:t>
            </w:r>
          </w:p>
        </w:tc>
      </w:tr>
      <w:tr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重要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FAQ、Tender、Prompt、SCA 项目与整改数据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1 小时以内</w:t>
            </w:r>
          </w:p>
        </w:tc>
        <w:tc>
          <w:tcPr>
            <w:tcW w:type="dxa" w:w="2324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4 小时以内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可重建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缓存、临时扫描结果、派生报表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24 小时以内或可重建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8 小时以内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>以上为目标建议，落地前需要结合部署环境和业务 SLA 确认。</w:t>
      </w:r>
    </w:p>
    <w:p>
      <w:r>
        <w:br w:type="page"/>
      </w:r>
    </w:p>
    <w:p>
      <w:pPr>
        <w:pStyle w:val="Heading2"/>
      </w:pPr>
      <w:r>
        <w:t>12. 可观测性与运维</w:t>
      </w:r>
    </w:p>
    <w:p>
      <w:pPr>
        <w:pStyle w:val="Heading3"/>
      </w:pPr>
      <w:r>
        <w:t>12.1 当前可观测入口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11 个现役业务后端统一应用级接口：</w:t>
      </w:r>
      <w:r>
        <w:rPr>
          <w:rFonts w:ascii="Courier New" w:hAnsi="Courier New" w:eastAsia="Courier New"/>
          <w:color w:val="12365A"/>
          <w:sz w:val="20"/>
        </w:rPr>
        <w:t>/api/health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/api/ready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/api/version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/api/build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Docker Compose 容器状态与日志。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业务操作日志和统一审计中心。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任务、扫描和持续风险监测记录。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Big Screen 来源健康接口。</w:t>
      </w:r>
    </w:p>
    <w:p>
      <w:pPr>
        <w:pStyle w:val="Heading3"/>
      </w:pPr>
      <w:r>
        <w:t>12.2 建议统一指标</w:t>
      </w:r>
    </w:p>
    <w:p>
      <w:r>
        <w:rPr>
          <w:rFonts w:ascii="STHeiti" w:hAnsi="STHeiti" w:eastAsia="STHeiti"/>
          <w:color w:val="263646"/>
          <w:sz w:val="21"/>
        </w:rPr>
        <w:t>建议按“服务健康、业务连续性、资源容量、链路定位”四层建设统一可观测指标：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指标层级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重点指标</w:t>
            </w:r>
          </w:p>
        </w:tc>
        <w:tc>
          <w:tcPr>
            <w:tcW w:type="dxa" w:w="309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服务黄金指标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HTTP 请求量、成功率、错误率、P95/P99 延迟、超时数、限流数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判断单个服务是否稳定，对发布回归和容量告警最直接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认证与权限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Auth 登录成功率、失败原因、会话数、鉴权延迟、越权拦截次数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识别登录异常、权限配置错误和认证中心性能瓶颈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数据与存储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数据库连接池使用率、慢查询、容量、备份状态、文件卷容量、增长率、孤儿文件数量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提前发现容量风险、备份缺口和数据访问性能问题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异步任务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Worker 队列长度、任务耗时、失败率、重试次数、死信数量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发现 SCA 扫描、报告生成、外部同步等后台任务积压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外部依赖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第三方服务成功率、超时率、熔断状态、降级次数、最近恢复时间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评估物流、漏洞源、AI、OCR、对象存储等依赖对业务的影响</w:t>
            </w:r>
          </w:p>
        </w:tc>
      </w:tr>
      <w:tr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安全运营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登录失败、鉴权失败、敏感配置变更、审计签名异常、SCA 高危新增数</w:t>
            </w:r>
          </w:p>
        </w:tc>
        <w:tc>
          <w:tcPr>
            <w:tcW w:type="dxa" w:w="309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支撑 OWASP A09 安全日志与告警治理</w:t>
            </w:r>
          </w:p>
        </w:tc>
      </w:tr>
    </w:tbl>
    <w:p/>
    <w:p>
      <w:r>
        <w:rPr>
          <w:rFonts w:ascii="STHeiti" w:hAnsi="STHeiti" w:eastAsia="STHeiti"/>
          <w:color w:val="263646"/>
          <w:sz w:val="21"/>
        </w:rPr>
        <w:t xml:space="preserve">后续应统一引入结构化日志、指标采集和分布式追踪。所有入口请求生成或继承 </w:t>
      </w:r>
      <w:r>
        <w:rPr>
          <w:rFonts w:ascii="Courier New" w:hAnsi="Courier New" w:eastAsia="Courier New"/>
          <w:color w:val="12365A"/>
          <w:sz w:val="20"/>
        </w:rPr>
        <w:t>request_id</w:t>
      </w:r>
      <w:r>
        <w:rPr>
          <w:rFonts w:ascii="STHeiti" w:hAnsi="STHeiti" w:eastAsia="STHeiti"/>
          <w:color w:val="263646"/>
          <w:sz w:val="21"/>
        </w:rPr>
        <w:t>，并在网关、Auth、业务 API、Worker、数据库访问、外部依赖调用和审计记录中贯穿，做到一次异常可以从日志、指标、链路和审计四个视角定位。</w:t>
      </w:r>
    </w:p>
    <w:p>
      <w:pPr>
        <w:pStyle w:val="Heading3"/>
      </w:pPr>
      <w:r>
        <w:t>12.3 备份范围</w:t>
      </w:r>
    </w:p>
    <w:p>
      <w:r>
        <w:rPr>
          <w:rFonts w:ascii="STHeiti" w:hAnsi="STHeiti" w:eastAsia="STHeiti"/>
          <w:color w:val="263646"/>
          <w:sz w:val="21"/>
        </w:rPr>
        <w:t>运维备份不能只覆盖 MySQL：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MySQL 全实例及按 Schema 恢复能力。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PostgreSQL。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FAQ、Tender、Train Exam 和 SCA 文件卷。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报告、SBOM、扫描原始结果和备份卷。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配置模板、部署清单和密钥管理系统中的配置版本。</w:t>
      </w:r>
    </w:p>
    <w:p>
      <w:r>
        <w:rPr>
          <w:rFonts w:ascii="STHeiti" w:hAnsi="STHeiti" w:eastAsia="STHeiti"/>
          <w:color w:val="263646"/>
          <w:sz w:val="21"/>
        </w:rPr>
        <w:t>至少每季度执行一次恢复演练，并记录恢复耗时和数据完整性。</w:t>
      </w:r>
    </w:p>
    <w:p>
      <w:r>
        <w:br w:type="page"/>
      </w:r>
    </w:p>
    <w:p>
      <w:pPr>
        <w:pStyle w:val="Heading2"/>
      </w:pPr>
      <w:r>
        <w:t>13. 测试与质量保障</w:t>
      </w:r>
    </w:p>
    <w:p>
      <w:pPr>
        <w:pStyle w:val="Heading3"/>
      </w:pPr>
      <w:r>
        <w:t>13.1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单元测试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权限规则、状态机、数据转换、签名、缓存和错误映射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API 测试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鉴权、CRUD、流程约束、分页、导入导出和失败响应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契约测试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Auth introspection、审计聚合、Big Screen 适配器和第三方网关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集成测试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MySQL/PostgreSQL/Redis/OnlyOffice/Celery 的真实组合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端到端测试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登录、系统切换、关键业务流程和退出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安全测试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越权、CSRF、上传、注入、会话、密钥和依赖漏洞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运维测试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启停、迁移、备份恢复、磁盘不足和依赖中断</w:t>
            </w:r>
          </w:p>
        </w:tc>
      </w:tr>
    </w:tbl>
    <w:p/>
    <w:p>
      <w:pPr>
        <w:pStyle w:val="Heading3"/>
      </w:pPr>
      <w:r>
        <w:t>13.2 发布门禁建议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版本自动化测试通过。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受影响系统的单元和 API 测试通过。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Compose 配置可解析，服务和端口无冲突。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门户系统数量、系统键和入口测试通过。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数据库迁移具备升级与回滚说明。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生产密钥检查无默认值。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高危和严重依赖漏洞有修复或书面风险接受结论。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关键系统完成登录、切换、退出和角色权限回归。</w:t>
      </w:r>
    </w:p>
    <w:p>
      <w:r>
        <w:br w:type="page"/>
      </w:r>
    </w:p>
    <w:p>
      <w:pPr>
        <w:pStyle w:val="Heading2"/>
      </w:pPr>
      <w:r>
        <w:t>14. 运维交接清单</w:t>
      </w:r>
    </w:p>
    <w:p>
      <w:pPr>
        <w:pStyle w:val="Heading3"/>
      </w:pPr>
      <w:r>
        <w:t>14.1 环境资料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当前版本分支和提交号。</w:t>
      </w:r>
    </w:p>
    <w:p>
      <w:pPr>
        <w:pStyle w:val="ListBullet"/>
        <w:ind w:left="397"/>
      </w:pPr>
      <w:r>
        <w:rPr>
          <w:rFonts w:ascii="Courier New" w:hAnsi="Courier New" w:eastAsia="Courier New"/>
          <w:color w:val="12365A"/>
          <w:sz w:val="20"/>
        </w:rPr>
        <w:t>.env</w:t>
      </w:r>
      <w:r>
        <w:rPr>
          <w:rFonts w:ascii="STHeiti" w:hAnsi="STHeiti" w:eastAsia="STHeiti"/>
          <w:color w:val="263646"/>
          <w:sz w:val="21"/>
        </w:rPr>
        <w:t xml:space="preserve"> 变量清单及密钥保管位置。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域名、证书、反向代理和防火墙规则。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数据库、文件卷和备份存储位置。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第三方服务账号、额度和到期时间。</w:t>
      </w:r>
    </w:p>
    <w:p>
      <w:pPr>
        <w:pStyle w:val="Heading3"/>
      </w:pPr>
      <w:r>
        <w:t>14.2 每日检查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Auth、MySQL、PostgreSQL、Redis 和关键业务健康状态。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容器重启次数、磁盘和文件卷容量。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登录失败、鉴权失败和异常审计事件。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SCA 队列积压和扫描失败。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外部物流、漏洞源、AI、OCR 和 OSS 调用失败。</w:t>
      </w:r>
    </w:p>
    <w:p>
      <w:pPr>
        <w:pStyle w:val="Heading3"/>
      </w:pPr>
      <w:r>
        <w:t>14.3 变更操作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变更前备份数据库和相关文件卷。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先执行配置检查和最快相关测试。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只重建受影响服务，避免无必要的全量重建。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变更后验证登录、门户、目标系统和审计记录。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记录版本、时间、操作者、变更内容和回退点。</w:t>
      </w:r>
    </w:p>
    <w:p>
      <w:r>
        <w:br w:type="page"/>
      </w:r>
    </w:p>
    <w:p>
      <w:pPr>
        <w:pStyle w:val="Heading2"/>
      </w:pPr>
      <w:r>
        <w:t>15. 架构演进路线</w:t>
      </w:r>
    </w:p>
    <w:p>
      <w:pPr>
        <w:pStyle w:val="Heading3"/>
      </w:pPr>
      <w:r>
        <w:t>15.1 第一阶段：事实与配置治理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已更新 README 和旧拓扑文档，统一 11 个现役系统口径。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已清除生产配置中的固定示例密钥和弱默认值。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已为每个业务 Schema 使用独立最小权限账号。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已统一健康、就绪、版本和构建信息接口。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建立数据库与文件卷配套恢复演练。</w:t>
      </w:r>
    </w:p>
    <w:p>
      <w:pPr>
        <w:pStyle w:val="Heading3"/>
      </w:pPr>
      <w:r>
        <w:t>15.2 第二阶段：平台治理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通过统一反向代理提供域名、TLS、限流和安全头。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统一 Auth SDK 或中间件，减少各系统重复实现。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定义统一审计事件模型和接入规范。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明确平台部门主数据与业务部门分类的边界。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将 Train Exam 对 FAQ 数据库的直连替换为 API 或受控同步。</w:t>
      </w:r>
    </w:p>
    <w:p>
      <w:pPr>
        <w:pStyle w:val="Heading3"/>
      </w:pPr>
      <w:r>
        <w:t>15.3 第三阶段：可靠性与可观测性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引入集中日志、指标、告警和链路追踪。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为 Auth、MySQL、PostgreSQL 和 Redis设计高可用方案。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对文件卷引入对象存储或具备版本化的共享存储。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为异步任务统一重试、死信、幂等和任务观测规范。</w:t>
      </w:r>
    </w:p>
    <w:p>
      <w:pPr>
        <w:pStyle w:val="Heading3"/>
      </w:pPr>
      <w:r>
        <w:t>15.4 第四阶段：解耦与兼容资产退役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启用 CMDB Outbox，并按实际需要引入事件总线。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将跨系统同步从数据库读取逐步迁移到 API 或事件。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完成 Ticketing、Sec-Impl 到 Delivery 的数据核对和归档。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>在无调用方、无未迁移数据和具备回退备份后，移除历史容器与旧系统键。</w:t>
      </w:r>
    </w:p>
    <w:p>
      <w:r>
        <w:br w:type="page"/>
      </w:r>
    </w:p>
    <w:p>
      <w:pPr>
        <w:pStyle w:val="Heading2"/>
      </w:pPr>
      <w:r>
        <w:t>16. 历史兼容资产</w:t>
      </w:r>
    </w:p>
    <w:p>
      <w:pPr>
        <w:pStyle w:val="Heading3"/>
      </w:pPr>
      <w:r>
        <w:t>16.1 Ticketing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目录 </w:t>
      </w:r>
      <w:r>
        <w:rPr>
          <w:rFonts w:ascii="Courier New" w:hAnsi="Courier New" w:eastAsia="Courier New"/>
          <w:color w:val="12365A"/>
          <w:sz w:val="20"/>
        </w:rPr>
        <w:t>ticketing</w:t>
      </w:r>
      <w:r>
        <w:rPr>
          <w:rFonts w:ascii="STHeiti" w:hAnsi="STHeiti" w:eastAsia="STHeiti"/>
          <w:color w:val="263646"/>
          <w:sz w:val="21"/>
        </w:rPr>
        <w:t xml:space="preserve"> 和 Compose 服务 </w:t>
      </w:r>
      <w:r>
        <w:rPr>
          <w:rFonts w:ascii="Courier New" w:hAnsi="Courier New" w:eastAsia="Courier New"/>
          <w:color w:val="12365A"/>
          <w:sz w:val="20"/>
        </w:rPr>
        <w:t>ticketing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web-ticketing</w:t>
      </w:r>
      <w:r>
        <w:rPr>
          <w:rFonts w:ascii="STHeiti" w:hAnsi="STHeiti" w:eastAsia="STHeiti"/>
          <w:color w:val="263646"/>
          <w:sz w:val="21"/>
        </w:rPr>
        <w:t xml:space="preserve"> 仍存在。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使用 </w:t>
      </w:r>
      <w:r>
        <w:rPr>
          <w:rFonts w:ascii="Courier New" w:hAnsi="Courier New" w:eastAsia="Courier New"/>
          <w:color w:val="12365A"/>
          <w:sz w:val="20"/>
        </w:rPr>
        <w:t>juxin_reminder</w:t>
      </w:r>
      <w:r>
        <w:rPr>
          <w:rFonts w:ascii="STHeiti" w:hAnsi="STHeiti" w:eastAsia="STHeiti"/>
          <w:color w:val="263646"/>
          <w:sz w:val="21"/>
        </w:rPr>
        <w:t xml:space="preserve">，宿主机入口为 </w:t>
      </w:r>
      <w:r>
        <w:rPr>
          <w:rFonts w:ascii="Courier New" w:hAnsi="Courier New" w:eastAsia="Courier New"/>
          <w:color w:val="12365A"/>
          <w:sz w:val="20"/>
        </w:rPr>
        <w:t>18081/5182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当前统一门户不再展示 </w:t>
      </w:r>
      <w:r>
        <w:rPr>
          <w:rFonts w:ascii="Courier New" w:hAnsi="Courier New" w:eastAsia="Courier New"/>
          <w:color w:val="12365A"/>
          <w:sz w:val="20"/>
        </w:rPr>
        <w:t>ticketing</w:t>
      </w:r>
      <w:r>
        <w:rPr>
          <w:rFonts w:ascii="STHeiti" w:hAnsi="STHeiti" w:eastAsia="STHeiti"/>
          <w:color w:val="263646"/>
          <w:sz w:val="21"/>
        </w:rPr>
        <w:t xml:space="preserve"> 系统卡片。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门户权限中的 </w:t>
      </w:r>
      <w:r>
        <w:rPr>
          <w:rFonts w:ascii="Courier New" w:hAnsi="Courier New" w:eastAsia="Courier New"/>
          <w:color w:val="12365A"/>
          <w:sz w:val="20"/>
        </w:rPr>
        <w:t>ticketing</w:t>
      </w:r>
      <w:r>
        <w:rPr>
          <w:rFonts w:ascii="STHeiti" w:hAnsi="STHeiti" w:eastAsia="STHeiti"/>
          <w:color w:val="263646"/>
          <w:sz w:val="21"/>
        </w:rPr>
        <w:t xml:space="preserve"> 历史键归一化为 </w:t>
      </w:r>
      <w:r>
        <w:rPr>
          <w:rFonts w:ascii="Courier New" w:hAnsi="Courier New" w:eastAsia="Courier New"/>
          <w:color w:val="12365A"/>
          <w:sz w:val="20"/>
        </w:rPr>
        <w:t>delivery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Heading3"/>
      </w:pPr>
      <w:r>
        <w:t>16.2 Sec-Impl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目录 </w:t>
      </w:r>
      <w:r>
        <w:rPr>
          <w:rFonts w:ascii="Courier New" w:hAnsi="Courier New" w:eastAsia="Courier New"/>
          <w:color w:val="12365A"/>
          <w:sz w:val="20"/>
        </w:rPr>
        <w:t>sec-impl</w:t>
      </w:r>
      <w:r>
        <w:rPr>
          <w:rFonts w:ascii="STHeiti" w:hAnsi="STHeiti" w:eastAsia="STHeiti"/>
          <w:color w:val="263646"/>
          <w:sz w:val="21"/>
        </w:rPr>
        <w:t xml:space="preserve"> 和历史文档仍存在。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当前根 Compose 的 </w:t>
      </w:r>
      <w:r>
        <w:rPr>
          <w:rFonts w:ascii="Courier New" w:hAnsi="Courier New" w:eastAsia="Courier New"/>
          <w:color w:val="12365A"/>
          <w:sz w:val="20"/>
        </w:rPr>
        <w:t>18084/5185</w:t>
      </w:r>
      <w:r>
        <w:rPr>
          <w:rFonts w:ascii="STHeiti" w:hAnsi="STHeiti" w:eastAsia="STHeiti"/>
          <w:color w:val="263646"/>
          <w:sz w:val="21"/>
        </w:rPr>
        <w:t xml:space="preserve"> 已由 </w:t>
      </w:r>
      <w:r>
        <w:rPr>
          <w:rFonts w:ascii="Courier New" w:hAnsi="Courier New" w:eastAsia="Courier New"/>
          <w:color w:val="12365A"/>
          <w:sz w:val="20"/>
        </w:rPr>
        <w:t>web-delivery</w:t>
      </w:r>
      <w:r>
        <w:rPr>
          <w:rFonts w:ascii="STHeiti" w:hAnsi="STHeiti" w:eastAsia="STHeiti"/>
          <w:color w:val="263646"/>
          <w:sz w:val="21"/>
        </w:rPr>
        <w:t>、</w:t>
      </w:r>
      <w:r>
        <w:rPr>
          <w:rFonts w:ascii="Courier New" w:hAnsi="Courier New" w:eastAsia="Courier New"/>
          <w:color w:val="12365A"/>
          <w:sz w:val="20"/>
        </w:rPr>
        <w:t>delivery-api</w:t>
      </w:r>
      <w:r>
        <w:rPr>
          <w:rFonts w:ascii="STHeiti" w:hAnsi="STHeiti" w:eastAsia="STHeiti"/>
          <w:color w:val="263646"/>
          <w:sz w:val="21"/>
        </w:rPr>
        <w:t xml:space="preserve"> 使用。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当前统一门户不再展示 </w:t>
      </w:r>
      <w:r>
        <w:rPr>
          <w:rFonts w:ascii="Courier New" w:hAnsi="Courier New" w:eastAsia="Courier New"/>
          <w:color w:val="12365A"/>
          <w:sz w:val="20"/>
        </w:rPr>
        <w:t>sec-impl</w:t>
      </w:r>
      <w:r>
        <w:rPr>
          <w:rFonts w:ascii="STHeiti" w:hAnsi="STHeiti" w:eastAsia="STHeiti"/>
          <w:color w:val="263646"/>
          <w:sz w:val="21"/>
        </w:rPr>
        <w:t xml:space="preserve"> 系统卡片。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门户权限中的 </w:t>
      </w:r>
      <w:r>
        <w:rPr>
          <w:rFonts w:ascii="Courier New" w:hAnsi="Courier New" w:eastAsia="Courier New"/>
          <w:color w:val="12365A"/>
          <w:sz w:val="20"/>
        </w:rPr>
        <w:t>sec-impl</w:t>
      </w:r>
      <w:r>
        <w:rPr>
          <w:rFonts w:ascii="STHeiti" w:hAnsi="STHeiti" w:eastAsia="STHeiti"/>
          <w:color w:val="263646"/>
          <w:sz w:val="21"/>
        </w:rPr>
        <w:t xml:space="preserve"> 历史键归一化为 </w:t>
      </w:r>
      <w:r>
        <w:rPr>
          <w:rFonts w:ascii="Courier New" w:hAnsi="Courier New" w:eastAsia="Courier New"/>
          <w:color w:val="12365A"/>
          <w:sz w:val="20"/>
        </w:rPr>
        <w:t>delivery</w:t>
      </w:r>
      <w:r>
        <w:rPr>
          <w:rFonts w:ascii="STHeiti" w:hAnsi="STHeiti" w:eastAsia="STHeiti"/>
          <w:color w:val="263646"/>
          <w:sz w:val="21"/>
        </w:rPr>
        <w:t>。</w:t>
      </w:r>
    </w:p>
    <w:p>
      <w:pPr>
        <w:pStyle w:val="ListBullet"/>
        <w:ind w:left="397"/>
      </w:pPr>
      <w:r>
        <w:rPr>
          <w:rFonts w:ascii="STHeiti" w:hAnsi="STHeiti" w:eastAsia="STHeiti"/>
          <w:color w:val="263646"/>
          <w:sz w:val="21"/>
        </w:rPr>
        <w:t xml:space="preserve">Delivery 迁移脚本可从 </w:t>
      </w:r>
      <w:r>
        <w:rPr>
          <w:rFonts w:ascii="Courier New" w:hAnsi="Courier New" w:eastAsia="Courier New"/>
          <w:color w:val="12365A"/>
          <w:sz w:val="20"/>
        </w:rPr>
        <w:t>juxin_sec_impl</w:t>
      </w:r>
      <w:r>
        <w:rPr>
          <w:rFonts w:ascii="STHeiti" w:hAnsi="STHeiti" w:eastAsia="STHeiti"/>
          <w:color w:val="263646"/>
          <w:sz w:val="21"/>
        </w:rPr>
        <w:t xml:space="preserve"> 读取历史数据。</w:t>
      </w:r>
    </w:p>
    <w:p>
      <w:pPr>
        <w:pStyle w:val="Heading3"/>
      </w:pPr>
      <w:r>
        <w:t>16.3 退役原则</w:t>
      </w:r>
    </w:p>
    <w:p>
      <w:r>
        <w:rPr>
          <w:rFonts w:ascii="STHeiti" w:hAnsi="STHeiti" w:eastAsia="STHeiti"/>
          <w:color w:val="263646"/>
          <w:sz w:val="21"/>
        </w:rPr>
        <w:t>兼容资产不得直接删除。退役前必须满足：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已完成数据迁移和数量、状态、附件、审计抽样核对。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已确认无用户、脚本、书签或外部系统继续访问旧入口。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已保留数据库和文件备份。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已明确回退窗口和负责人。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已更新 README、部署脚本、测试和监控。</w:t>
      </w:r>
    </w:p>
    <w:p>
      <w:r>
        <w:br w:type="page"/>
      </w:r>
    </w:p>
    <w:p>
      <w:pPr>
        <w:pStyle w:val="Heading2"/>
      </w:pPr>
      <w:r>
        <w:t>17. 快速索引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49"/>
            <w:vAlign w:val="center"/>
            <w:shd w:fill="12365A"/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主要位置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完整运行拓扑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docker-compose.yml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门户系统键和历史别名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auth/portal-routing.js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门户系统展示名称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auth/system-access-display.js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统一认证与专用中心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auth/index.js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Reminder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server</w:t>
            </w:r>
            <w:r>
              <w:rPr>
                <w:rFonts w:ascii="STHeiti" w:hAnsi="STHeiti" w:eastAsia="STHeiti"/>
                <w:color w:val="263646"/>
                <w:sz w:val="18"/>
              </w:rPr>
              <w:t>、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web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Delivery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delivery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CMDB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cmdb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Inventory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inventory-system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Device Flow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device-flow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FAQ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faq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Tender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tender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Train Exam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train-exam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Prompt Center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prompt-center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SCA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sca-platform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Big Screen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big-screen-center</w:t>
            </w:r>
          </w:p>
        </w:tc>
      </w:tr>
      <w:tr>
        <w:tc>
          <w:tcPr>
            <w:tcW w:type="dxa" w:w="4649"/>
            <w:vAlign w:val="center"/>
            <w:shd w:fill="F4F7FA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部署脚本</w:t>
            </w:r>
          </w:p>
        </w:tc>
        <w:tc>
          <w:tcPr>
            <w:tcW w:type="dxa" w:w="4649"/>
            <w:vAlign w:val="center"/>
            <w:shd w:fill="F4F7FA"/>
          </w:tcPr>
          <w:p>
            <w:r>
              <w:rPr>
                <w:rFonts w:ascii="Courier New" w:hAnsi="Courier New" w:eastAsia="Courier New"/>
                <w:color w:val="12365A"/>
                <w:sz w:val="17"/>
              </w:rPr>
              <w:t>scripts/deploy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>API 契约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STHeiti" w:hAnsi="STHeiti" w:eastAsia="STHeiti"/>
                <w:color w:val="263646"/>
                <w:sz w:val="18"/>
              </w:rPr>
              <w:t xml:space="preserve">各系统 </w:t>
            </w:r>
            <w:r>
              <w:rPr>
                <w:rFonts w:ascii="Courier New" w:hAnsi="Courier New" w:eastAsia="Courier New"/>
                <w:color w:val="12365A"/>
                <w:sz w:val="17"/>
              </w:rPr>
              <w:t>api/openapi</w:t>
            </w:r>
            <w:r>
              <w:rPr>
                <w:rFonts w:ascii="STHeiti" w:hAnsi="STHeiti" w:eastAsia="STHeiti"/>
                <w:color w:val="263646"/>
                <w:sz w:val="18"/>
              </w:rPr>
              <w:t xml:space="preserve"> 或路由实现</w:t>
            </w:r>
          </w:p>
        </w:tc>
      </w:tr>
    </w:tbl>
    <w:p/>
    <w:p>
      <w:r>
        <w:br w:type="page"/>
      </w:r>
    </w:p>
    <w:p>
      <w:pPr>
        <w:pStyle w:val="Heading2"/>
      </w:pPr>
      <w:r>
        <w:t>18. 设计结论</w:t>
      </w:r>
    </w:p>
    <w:p>
      <w:r>
        <w:rPr>
          <w:rFonts w:ascii="STHeiti" w:hAnsi="STHeiti" w:eastAsia="STHeiti"/>
          <w:color w:val="263646"/>
          <w:sz w:val="21"/>
        </w:rPr>
        <w:t>平台已经形成清晰的统一门户和多业务域雏形，现役产品边界应以 11 个门户业务系统、两个平台专用中心和共享基础设施为准。</w:t>
      </w:r>
    </w:p>
    <w:p>
      <w:r>
        <w:rPr>
          <w:rFonts w:ascii="STHeiti" w:hAnsi="STHeiti" w:eastAsia="STHeiti"/>
          <w:color w:val="263646"/>
          <w:sz w:val="21"/>
        </w:rPr>
        <w:t>当前最重要的架构治理方向不是立即拆分所有服务，而是先完成四件事：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统一文档、系统键和运行拓扑口径。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收紧密钥、数据库账号和生产网络边界。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补齐统一健康、备份恢复和可观测能力。</w:t>
      </w:r>
    </w:p>
    <w:p>
      <w:pPr>
        <w:pStyle w:val="ListNumber"/>
        <w:ind w:left="397"/>
      </w:pPr>
      <w:r>
        <w:rPr>
          <w:rFonts w:ascii="STHeiti" w:hAnsi="STHeiti" w:eastAsia="STHeiti"/>
          <w:color w:val="263646"/>
          <w:sz w:val="21"/>
        </w:rPr>
        <w:t>消除跨库读取与历史兼容资产带来的长期耦合。</w:t>
      </w:r>
    </w:p>
    <w:p>
      <w:r>
        <w:rPr>
          <w:rFonts w:ascii="STHeiti" w:hAnsi="STHeiti" w:eastAsia="STHeiti"/>
          <w:color w:val="263646"/>
          <w:sz w:val="21"/>
        </w:rPr>
        <w:t>在此基础上，再根据容量、故障影响和团队边界推进高可用、事件驱动和独立部署。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667788"/>
        <w:sz w:val="18"/>
      </w:rPr>
      <w:t xml:space="preserve">第 </w:t>
    </w:r>
    <w:fldSimple w:instr="PAGE"/>
    <w:r>
      <w:rPr>
        <w:rFonts w:ascii="STHeiti" w:hAnsi="STHeiti" w:eastAsia="STHeiti"/>
        <w:color w:val="6677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667788"/>
        <w:sz w:val="17"/>
      </w:rPr>
      <w:t>聚信多系统业务平台高层设计  |  v5.72.0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236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6FB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68B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3" w:right="283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聚信多系统业务平台高层设计</dc:title>
  <dc:subject>统一认证门户、11 个业务系统、共享基础设施与架构演进</dc:subject>
  <dc:creator>聚信项目组</dc:creator>
  <cp:keywords>高层设计, 系统架构, SSO, Docker Compose, 运维交接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